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>
  <w:body>
    <w:p w14:paraId="00000001">
      <w:pPr>
        <w:spacing w:before="0" w:after="0" w:line="240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Индивидуальн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ый предприниматель</w:t>
      </w:r>
    </w:p>
    <w:p w14:paraId="00000002">
      <w:pPr>
        <w:spacing w:before="0" w:after="0" w:line="240" w:lineRule="auto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Шмелев Нил Валерьевич</w:t>
      </w:r>
    </w:p>
    <w:p w14:paraId="0000000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ru-RU"/>
        </w:rPr>
        <w:t xml:space="preserve">ОГРНИП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en-US"/>
        </w:rPr>
        <w:t>318332800035197, ИНН 332905778285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rtl w:val="off"/>
          <w:lang w:val="en-US"/>
        </w:rPr>
        <w:t xml:space="preserve"> </w:t>
      </w:r>
    </w:p>
    <w:p w14:paraId="00000004">
      <w:pPr>
        <w:spacing w:before="0" w:after="0" w:line="240"/>
        <w:ind w:left="393" w:right="273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(Гимнастический центр IGYM)</w:t>
      </w:r>
    </w:p>
    <w:p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/>
          <w:sz w:val="28"/>
          <w:szCs w:val="28"/>
          <w:highlight w:val="none"/>
          <w:lang w:val="ru-RU"/>
        </w:rPr>
      </w:pPr>
      <w:r>
        <w:rPr>
          <w:rFonts w:ascii="Times New Roman" w:cs="Times New Roman" w:eastAsia="Times New Roman" w:hAnsi="Times New Roman"/>
          <w:b/>
          <w:sz w:val="28"/>
          <w:szCs w:val="28"/>
          <w:highlight w:val="none"/>
          <w:lang w:val="ru-RU"/>
        </w:rPr>
        <w:t>ПРИКАЗ</w:t>
      </w:r>
    </w:p>
    <w:p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0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27 февраля 2026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 г.                                   №______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br w:type="textWrapping"/>
      </w:r>
    </w:p>
    <w:p w14:paraId="0000000A">
      <w:pPr>
        <w:spacing w:after="0" w:line="240" w:lineRule="auto"/>
        <w:ind w:firstLine="567"/>
        <w:jc w:val="center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г. Владимир</w:t>
      </w:r>
    </w:p>
    <w:p w14:paraId="0000000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0C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highlight w:val="none"/>
          <w:lang w:val="ru-RU"/>
        </w:rPr>
        <w:t>Об утверждении Положения о правилах приема</w:t>
      </w:r>
      <w:r>
        <w:rPr>
          <w:rFonts w:ascii="Times New Roman" w:cs="Times New Roman" w:eastAsia="Times New Roman" w:hAnsi="Times New Roman"/>
          <w:i/>
          <w:sz w:val="24"/>
          <w:szCs w:val="24"/>
          <w:highlight w:val="none"/>
          <w:lang w:val="ru-RU"/>
        </w:rPr>
        <w:t xml:space="preserve">, </w:t>
      </w:r>
      <w:r>
        <w:rPr>
          <w:rFonts w:ascii="Times New Roman" w:cs="Times New Roman" w:eastAsia="Times New Roman" w:hAnsi="Times New Roman"/>
          <w:i/>
          <w:sz w:val="24"/>
          <w:szCs w:val="24"/>
          <w:highlight w:val="none"/>
          <w:lang w:val="ru-RU"/>
        </w:rPr>
        <w:t>порядке</w:t>
      </w:r>
    </w:p>
    <w:p w14:paraId="0000000D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highlight w:val="none"/>
          <w:lang w:val="ru-RU"/>
        </w:rPr>
        <w:t>и основаниях перевода, отчисления и восстановления</w:t>
      </w:r>
    </w:p>
    <w:p w14:paraId="0000000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i/>
          <w:sz w:val="24"/>
          <w:szCs w:val="24"/>
          <w:highlight w:val="none"/>
          <w:lang w:val="ru-RU"/>
        </w:rPr>
        <w:t>обучающихся</w:t>
      </w:r>
      <w:r>
        <w:rPr>
          <w:rFonts w:ascii="Times New Roman" w:cs="Times New Roman" w:eastAsia="Times New Roman" w:hAnsi="Times New Roman"/>
          <w:i/>
          <w:sz w:val="24"/>
          <w:szCs w:val="24"/>
          <w:lang w:val="ru-RU"/>
        </w:rPr>
        <w:t xml:space="preserve"> </w:t>
      </w:r>
    </w:p>
    <w:p w14:paraId="0000000F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highlight w:val="none"/>
          <w:lang w:val="ru-RU"/>
        </w:rPr>
      </w:pPr>
    </w:p>
    <w:p w14:paraId="0000001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i/>
          <w:sz w:val="24"/>
          <w:szCs w:val="24"/>
          <w:highlight w:val="none"/>
          <w:lang w:val="ru-RU"/>
        </w:rPr>
      </w:pPr>
    </w:p>
    <w:p w14:paraId="0000001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ab/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В целях обеспечения образовательной деятельности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ИП Шмелева Н.В., действующего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en-US"/>
        </w:rPr>
        <w:t xml:space="preserve">под коммерческим обозначением «Гимнастический Центр IGYM»,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ru-RU"/>
        </w:rPr>
        <w:t xml:space="preserve">в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ru-RU"/>
        </w:rPr>
        <w:t>дальнейшем именуемом “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Организация”</w:t>
      </w:r>
    </w:p>
    <w:p w14:paraId="00000012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3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highlight w:val="none"/>
          <w:lang w:val="ru-RU"/>
        </w:rPr>
        <w:t>ПРИКАЗЫВАЮ:</w:t>
      </w:r>
    </w:p>
    <w:p w14:paraId="00000014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5">
      <w:pPr>
        <w:pStyle w:val="Normal"/>
        <w:numPr>
          <w:ilvl w:val="0"/>
          <w:numId w:val="11"/>
        </w:numPr>
        <w:spacing w:after="0" w:line="276" w:lineRule="auto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Утвердить и ввести в действие с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27 февраля 2026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 г.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 Положение о правилах приема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 порядке и основаниях перевода, отчисления и восстановления обу</w:t>
      </w:r>
      <w:r>
        <w:rPr>
          <w:rFonts w:ascii="Times New Roman" w:cs="Times New Roman" w:eastAsia="Times New Roman" w:hAnsi="Times New Roman"/>
          <w:b w:val="off"/>
          <w:bCs w:val="off"/>
          <w:sz w:val="24"/>
          <w:szCs w:val="24"/>
          <w:highlight w:val="none"/>
          <w:lang w:val="ru-RU"/>
        </w:rPr>
        <w:t>ча</w:t>
      </w:r>
      <w:r>
        <w:rPr>
          <w:rFonts w:ascii="Times New Roman" w:cs="Times New Roman" w:eastAsia="Times New Roman" w:hAnsi="Times New Roman"/>
          <w:b w:val="off"/>
          <w:bCs w:val="off"/>
          <w:sz w:val="24"/>
          <w:szCs w:val="24"/>
          <w:highlight w:val="none"/>
          <w:lang w:val="ru-RU"/>
        </w:rPr>
        <w:t xml:space="preserve">ющихся в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en-US"/>
        </w:rPr>
        <w:t>Гимнастическ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ru-RU"/>
        </w:rPr>
        <w:t>ом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en-US"/>
        </w:rPr>
        <w:t xml:space="preserve"> Центр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ru-RU"/>
        </w:rPr>
        <w:t>е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en-US"/>
        </w:rPr>
        <w:t xml:space="preserve"> IGYM, </w:t>
      </w:r>
      <w:r>
        <w:rPr>
          <w:rFonts w:ascii="Times New Roman" w:cs="Times New Roman" w:eastAsia="Times New Roman" w:hAnsi="Times New Roman"/>
          <w:b w:val="off"/>
          <w:bCs w:val="off"/>
          <w:sz w:val="24"/>
          <w:szCs w:val="24"/>
          <w:highlight w:val="none"/>
          <w:lang w:val="ru-RU"/>
        </w:rPr>
        <w:t xml:space="preserve">по </w:t>
      </w:r>
      <w:r>
        <w:rPr>
          <w:rFonts w:ascii="Times New Roman" w:cs="Times New Roman" w:hAnsi="Times New Roman"/>
          <w:sz w:val="24"/>
          <w:szCs w:val="24"/>
          <w:highlight w:val="none"/>
        </w:rPr>
        <w:t>дополнительны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общеобразовательны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общеразвивающи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программ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ам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спортивной направленности</w:t>
      </w:r>
      <w:r>
        <w:rPr>
          <w:rFonts w:ascii="Times New Roman" w:cs="Times New Roman" w:hAnsi="Times New Roman"/>
          <w:sz w:val="24"/>
          <w:szCs w:val="24"/>
          <w:highlight w:val="none"/>
        </w:rPr>
        <w:t>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 w14:paraId="00000016">
      <w:pPr>
        <w:pStyle w:val="ConsNormal"/>
        <w:tabs>
          <w:tab w:val="left" w:pos="1134"/>
        </w:tabs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Развивающая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17">
      <w:pPr>
        <w:pStyle w:val="ConsNormal"/>
        <w:tabs>
          <w:tab w:val="left" w:pos="1134"/>
        </w:tabs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Спортивная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18">
      <w:pPr>
        <w:pStyle w:val="ConsNormal"/>
        <w:tabs>
          <w:tab w:val="left" w:pos="1134"/>
        </w:tabs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Художественная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19">
      <w:pPr>
        <w:pStyle w:val="ConsNormal"/>
        <w:tabs>
          <w:tab w:val="left" w:pos="1134"/>
        </w:tabs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>- «Спортивная акробатика».</w:t>
      </w:r>
    </w:p>
    <w:p w14:paraId="0000001A">
      <w:pPr>
        <w:pStyle w:val="Normal"/>
        <w:spacing w:after="0" w:line="276" w:lineRule="auto"/>
        <w:ind w:left="720" w:right="0" w:firstLine="0"/>
        <w:jc w:val="both"/>
        <w:rPr>
          <w:rFonts w:ascii="Times New Roman" w:cs="Times New Roman" w:hAnsi="Times New Roman"/>
          <w:b w:val="off"/>
          <w:bCs w:val="off"/>
          <w:sz w:val="24"/>
          <w:szCs w:val="24"/>
          <w:highlight w:val="none"/>
          <w:lang w:val="ru-RU"/>
        </w:rPr>
      </w:pPr>
    </w:p>
    <w:p w14:paraId="0000001B">
      <w:pPr>
        <w:pStyle w:val="ListParagraph"/>
        <w:spacing w:after="0"/>
        <w:ind w:left="0" w:right="0" w:firstLine="372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2.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 Контроль за исполнением настоящего приказа оставляю за собой.</w:t>
      </w:r>
    </w:p>
    <w:p w14:paraId="0000001C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D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1E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Приложение:</w:t>
      </w:r>
    </w:p>
    <w:p w14:paraId="0000001F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Положение о правилах приема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,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порядке и основаниях перевода, отчисления и восстановления обучающихся.</w:t>
      </w:r>
    </w:p>
    <w:p w14:paraId="000000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1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2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3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4">
      <w:pPr>
        <w:widowControl w:val="off"/>
        <w:spacing w:after="0" w:line="240" w:lineRule="auto"/>
        <w:rPr>
          <w:rFonts w:ascii="Times New Roman" w:cs="Times New Roman" w:eastAsia="Times New Roman" w:hAnsi="Times New Roman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ИП Шмелев Н.В.</w:t>
      </w:r>
    </w:p>
    <w:p w14:paraId="00000025">
      <w:pPr>
        <w:widowControl w:val="off"/>
        <w:spacing w:after="120"/>
        <w:ind w:left="283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6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7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8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9">
      <w:pPr>
        <w:spacing w:before="0" w:after="0" w:line="240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Индивидуальн</w:t>
      </w: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ый предприниматель</w:t>
      </w:r>
    </w:p>
    <w:p w14:paraId="0000002A">
      <w:pPr>
        <w:spacing w:before="0" w:after="0" w:line="240" w:lineRule="auto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Шмелев Нил Валерьевич</w:t>
      </w:r>
    </w:p>
    <w:p w14:paraId="0000002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lang w:val="en-US"/>
        </w:rPr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ru-RU"/>
        </w:rPr>
        <w:t xml:space="preserve">ОГРНИП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en-US"/>
        </w:rPr>
        <w:t>318332800035197, ИНН 332905778285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rtl w:val="off"/>
          <w:lang w:val="en-US"/>
        </w:rPr>
        <w:t xml:space="preserve"> </w:t>
      </w:r>
    </w:p>
    <w:p w14:paraId="0000002C">
      <w:pPr>
        <w:spacing w:before="0" w:after="0" w:line="240"/>
        <w:ind w:left="393" w:right="273"/>
        <w:jc w:val="center"/>
        <w:rPr>
          <w:rFonts w:ascii="Times New Roman" w:cs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cs="Times New Roman" w:hAnsi="Times New Roman"/>
          <w:b/>
          <w:bCs/>
          <w:sz w:val="28"/>
          <w:szCs w:val="28"/>
          <w:highlight w:val="none"/>
        </w:rPr>
        <w:t>(Гимнастический центр IGYM)</w:t>
      </w:r>
    </w:p>
    <w:p w14:paraId="0000002D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2E">
      <w:pPr>
        <w:pStyle w:val="BodyText"/>
        <w:jc w:val="right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  <w:t xml:space="preserve">   </w:t>
      </w:r>
      <w:r>
        <w:rPr>
          <w:b/>
          <w:bCs/>
          <w:sz w:val="24"/>
          <w:szCs w:val="24"/>
          <w:highlight w:val="none"/>
        </w:rPr>
        <w:t>УТВЕРЖД</w:t>
      </w:r>
      <w:r>
        <w:rPr>
          <w:b/>
          <w:bCs/>
          <w:sz w:val="24"/>
          <w:szCs w:val="24"/>
          <w:highlight w:val="none"/>
          <w:lang w:val="ru-RU"/>
        </w:rPr>
        <w:t>Е</w:t>
      </w:r>
      <w:r>
        <w:rPr>
          <w:b/>
          <w:bCs/>
          <w:sz w:val="24"/>
          <w:szCs w:val="24"/>
          <w:highlight w:val="none"/>
          <w:lang w:val="ru-RU"/>
        </w:rPr>
        <w:t>НО</w:t>
      </w:r>
      <w:r>
        <w:rPr>
          <w:b/>
          <w:bCs/>
          <w:sz w:val="24"/>
          <w:szCs w:val="24"/>
          <w:highlight w:val="none"/>
        </w:rPr>
        <w:t>:</w:t>
      </w:r>
    </w:p>
    <w:p w14:paraId="0000002F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bCs/>
          <w:sz w:val="24"/>
          <w:szCs w:val="24"/>
          <w:highlight w:val="none"/>
        </w:rPr>
        <w:t xml:space="preserve">                                                                     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П</w:t>
      </w:r>
      <w:r>
        <w:rPr>
          <w:rFonts w:ascii="Times New Roman" w:cs="Times New Roman" w:hAnsi="Times New Roman"/>
          <w:bCs/>
          <w:sz w:val="24"/>
          <w:szCs w:val="24"/>
          <w:highlight w:val="none"/>
        </w:rPr>
        <w:t>риказ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ом</w:t>
      </w:r>
      <w:r>
        <w:rPr>
          <w:rFonts w:ascii="Times New Roman" w:cs="Times New Roman" w:hAnsi="Times New Roman"/>
          <w:bCs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bCs/>
          <w:sz w:val="24"/>
          <w:szCs w:val="24"/>
          <w:highlight w:val="none"/>
          <w:lang w:val="ru-RU"/>
        </w:rPr>
        <w:t>ИП Шмелев Н.В.</w:t>
      </w:r>
    </w:p>
    <w:p w14:paraId="00000030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от 27.02.2026 г. № _____</w:t>
      </w:r>
    </w:p>
    <w:p w14:paraId="00000031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</w:p>
    <w:p w14:paraId="00000032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_____________________ 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Н.В</w:t>
      </w: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>. Шмелев</w:t>
      </w:r>
    </w:p>
    <w:p w14:paraId="00000033">
      <w:pPr>
        <w:pStyle w:val="ConsNormal"/>
        <w:jc w:val="right"/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lang w:val="ru-RU"/>
        </w:rPr>
        <w:t xml:space="preserve"> </w:t>
      </w:r>
    </w:p>
    <w:p w14:paraId="00000034">
      <w:pPr>
        <w:pStyle w:val="ConsNormal"/>
        <w:tabs>
          <w:tab w:val="left" w:pos="1134"/>
        </w:tabs>
        <w:ind w:firstLine="13"/>
        <w:jc w:val="center"/>
        <w:rPr>
          <w:rFonts w:ascii="Times New Roman" w:cs="Times New Roman" w:hAnsi="Times New Roman"/>
          <w:b/>
          <w:bCs/>
          <w:color w:val="auto"/>
          <w:sz w:val="28"/>
          <w:szCs w:val="28"/>
          <w:highlight w:val="none"/>
          <w:lang w:val="ru-RU"/>
        </w:rPr>
      </w:pPr>
      <w:r>
        <w:rPr>
          <w:bCs/>
          <w:sz w:val="24"/>
          <w:szCs w:val="24"/>
          <w:highlight w:val="none"/>
        </w:rPr>
        <w:t xml:space="preserve">                                                                     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highlight w:val="none"/>
          <w:lang w:val="ru-RU"/>
        </w:rPr>
        <w:t>ПО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highlight w:val="none"/>
          <w:lang w:val="ru-RU"/>
        </w:rPr>
        <w:t>ЛОЖЕНИЕ</w:t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highlight w:val="none"/>
          <w:lang w:val="ru-RU"/>
        </w:rPr>
        <w:br w:type="textWrapping"/>
      </w:r>
      <w:r>
        <w:rPr>
          <w:rFonts w:ascii="Times New Roman" w:cs="Times New Roman" w:hAnsi="Times New Roman"/>
          <w:b/>
          <w:bCs/>
          <w:color w:val="auto"/>
          <w:sz w:val="28"/>
          <w:szCs w:val="28"/>
          <w:highlight w:val="none"/>
          <w:lang w:val="ru-RU"/>
        </w:rPr>
        <w:t xml:space="preserve">о </w:t>
      </w:r>
      <w:bookmarkStart w:id="0" w:name="_Hlk215425264"/>
      <w:r>
        <w:rPr>
          <w:rFonts w:ascii="Times New Roman" w:cs="Times New Roman" w:hAnsi="Times New Roman"/>
          <w:b/>
          <w:bCs/>
          <w:color w:val="auto"/>
          <w:sz w:val="28"/>
          <w:szCs w:val="28"/>
          <w:highlight w:val="none"/>
          <w:lang w:val="ru-RU"/>
        </w:rPr>
        <w:t>правилах приема</w:t>
      </w:r>
      <w:bookmarkEnd w:id="0"/>
      <w:r>
        <w:rPr>
          <w:rFonts w:ascii="Times New Roman" w:cs="Times New Roman" w:hAnsi="Times New Roman"/>
          <w:b/>
          <w:bCs/>
          <w:color w:val="auto"/>
          <w:sz w:val="28"/>
          <w:szCs w:val="28"/>
          <w:highlight w:val="none"/>
          <w:lang w:val="ru-RU"/>
        </w:rPr>
        <w:t xml:space="preserve">, порядке и основаниях перевода, отчисления и восстановления обучающихся </w:t>
      </w:r>
    </w:p>
    <w:p w14:paraId="00000035">
      <w:pPr>
        <w:pStyle w:val="ConsNormal"/>
        <w:tabs>
          <w:tab w:val="left" w:pos="1134"/>
        </w:tabs>
        <w:ind w:firstLine="13"/>
        <w:jc w:val="center"/>
        <w:rPr>
          <w:b/>
          <w:bCs/>
          <w:sz w:val="28"/>
          <w:szCs w:val="28"/>
          <w:highlight w:val="none"/>
          <w:lang w:val="ru-RU"/>
        </w:rPr>
      </w:pPr>
      <w:r>
        <w:rPr>
          <w:rFonts w:ascii="Times New Roman" w:cs="Times New Roman" w:hAnsi="Times New Roman"/>
          <w:b/>
          <w:bCs/>
          <w:color w:val="auto"/>
          <w:sz w:val="28"/>
          <w:szCs w:val="28"/>
          <w:highlight w:val="none"/>
          <w:lang w:val="ru-RU"/>
        </w:rPr>
        <w:t xml:space="preserve">в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en-US"/>
        </w:rPr>
        <w:t>Гимнастическ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ru-RU"/>
        </w:rPr>
        <w:t>ом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en-US"/>
        </w:rPr>
        <w:t xml:space="preserve"> Центр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ru-RU"/>
        </w:rPr>
        <w:t>е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  <w:highlight w:val="none"/>
          <w:rtl w:val="off"/>
          <w:lang w:val="en-US"/>
        </w:rPr>
        <w:t xml:space="preserve"> IGYM</w:t>
      </w:r>
    </w:p>
    <w:p w14:paraId="00000036">
      <w:pPr>
        <w:pStyle w:val="ConsNormal"/>
        <w:tabs>
          <w:tab w:val="left" w:pos="1134"/>
        </w:tabs>
        <w:ind w:firstLine="13"/>
        <w:jc w:val="center"/>
        <w:rPr>
          <w:b/>
          <w:bCs/>
          <w:sz w:val="28"/>
          <w:szCs w:val="28"/>
          <w:highlight w:val="none"/>
          <w:lang w:val="ru-RU"/>
        </w:rPr>
      </w:pPr>
    </w:p>
    <w:p w14:paraId="00000037">
      <w:pPr>
        <w:pStyle w:val="Heading2"/>
        <w:spacing w:before="0" w:line="276" w:lineRule="auto"/>
        <w:ind w:firstLine="709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1. Общие положения</w:t>
      </w:r>
    </w:p>
    <w:p w14:paraId="00000038">
      <w:pPr>
        <w:pStyle w:val="Normal"/>
        <w:spacing w:after="0" w:line="276" w:lineRule="auto"/>
        <w:ind w:right="0" w:firstLine="744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1.1. Настоящее Положение регулирует порядок и условия приема граждан на обучение, основания и порядок их перевода, отчисления и восстановления </w:t>
      </w:r>
      <w:r>
        <w:rPr>
          <w:rFonts w:ascii="Times New Roman" w:cs="Times New Roman" w:eastAsia="Times New Roman" w:hAnsi="Times New Roman"/>
          <w:b w:val="off"/>
          <w:bCs w:val="off"/>
          <w:sz w:val="24"/>
          <w:szCs w:val="24"/>
          <w:highlight w:val="none"/>
          <w:lang w:val="ru-RU"/>
        </w:rPr>
        <w:t xml:space="preserve">по </w:t>
      </w:r>
      <w:r>
        <w:rPr>
          <w:rFonts w:ascii="Times New Roman" w:cs="Times New Roman" w:hAnsi="Times New Roman"/>
          <w:sz w:val="24"/>
          <w:szCs w:val="24"/>
          <w:highlight w:val="none"/>
        </w:rPr>
        <w:t>дополнительны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общеобразовательны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общеразвивающи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программ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ам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спортивной направленности</w:t>
      </w:r>
      <w:r>
        <w:rPr>
          <w:rFonts w:ascii="Times New Roman" w:cs="Times New Roman" w:hAnsi="Times New Roman"/>
          <w:sz w:val="24"/>
          <w:szCs w:val="24"/>
          <w:highlight w:val="none"/>
        </w:rPr>
        <w:t>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</w:p>
    <w:p w14:paraId="00000039">
      <w:pPr>
        <w:pStyle w:val="ConsNormal"/>
        <w:tabs>
          <w:tab w:val="left" w:pos="1134"/>
        </w:tabs>
        <w:spacing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Развивающая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3A">
      <w:pPr>
        <w:pStyle w:val="ConsNormal"/>
        <w:tabs>
          <w:tab w:val="left" w:pos="1134"/>
        </w:tabs>
        <w:spacing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Спортивная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3B">
      <w:pPr>
        <w:pStyle w:val="ConsNormal"/>
        <w:tabs>
          <w:tab w:val="left" w:pos="1134"/>
        </w:tabs>
        <w:spacing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 xml:space="preserve">- </w:t>
      </w:r>
      <w:r>
        <w:rPr>
          <w:rFonts w:ascii="Times New Roman" w:cs="Times New Roman" w:hAnsi="Times New Roman"/>
          <w:sz w:val="24"/>
          <w:szCs w:val="24"/>
          <w:highlight w:val="none"/>
        </w:rPr>
        <w:t>«</w:t>
      </w:r>
      <w:r>
        <w:rPr>
          <w:rFonts w:ascii="Times New Roman" w:cs="Times New Roman" w:hAnsi="Times New Roman"/>
          <w:sz w:val="24"/>
          <w:szCs w:val="24"/>
          <w:highlight w:val="none"/>
        </w:rPr>
        <w:t>Художественная гимнастика</w:t>
      </w:r>
      <w:r>
        <w:rPr>
          <w:rFonts w:ascii="Times New Roman" w:cs="Times New Roman" w:hAnsi="Times New Roman"/>
          <w:sz w:val="24"/>
          <w:szCs w:val="24"/>
          <w:highlight w:val="none"/>
        </w:rPr>
        <w:t>»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3C">
      <w:pPr>
        <w:pStyle w:val="ConsNormal"/>
        <w:tabs>
          <w:tab w:val="left" w:pos="1134"/>
        </w:tabs>
        <w:spacing w:line="276"/>
        <w:ind w:firstLine="709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>- «Спортивная акробатика».</w:t>
      </w:r>
    </w:p>
    <w:p w14:paraId="0000003D">
      <w:pPr>
        <w:pStyle w:val="Normal"/>
        <w:spacing w:after="0" w:line="276" w:lineRule="auto"/>
        <w:ind w:right="0" w:firstLine="636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eastAsia="Times New Roman" w:hAnsi="Times New Roman"/>
          <w:sz w:val="24"/>
          <w:szCs w:val="24"/>
          <w:highlight w:val="none"/>
          <w:lang w:val="ru-RU"/>
        </w:rPr>
        <w:t xml:space="preserve">ИП Шмелева Нила Валерьевича, действующего </w:t>
      </w:r>
      <w:r>
        <w:rPr>
          <w:rFonts w:ascii="Times New Roman" w:cs="Times New Roman" w:hAnsi="Times New Roman"/>
          <w:color w:val="000000"/>
          <w:sz w:val="24"/>
          <w:szCs w:val="24"/>
          <w:highlight w:val="none"/>
          <w:rtl w:val="off"/>
          <w:lang w:val="en-US"/>
        </w:rPr>
        <w:t xml:space="preserve">под коммерческим обозначением «Гимнастический Центр IGYM»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(далее — Организация).</w:t>
      </w:r>
    </w:p>
    <w:p w14:paraId="0000003E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1.2. Положение разработано в соответствии с Федеральным законом № 273</w:t>
        <w:noBreakHyphen/>
        <w:t>ФЗ «Об образовании в Российской Федерации», а также локальными нормативными актами Организации.</w:t>
      </w:r>
    </w:p>
    <w:p w14:paraId="0000003F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1.3. Обучение осуществляется по дополнительным общеразвивающим программам в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очной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форме.</w:t>
      </w:r>
    </w:p>
    <w:p w14:paraId="00000040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1.4. Прием обучающихся осуществляется без вступительных испытаний.</w:t>
      </w:r>
    </w:p>
    <w:p w14:paraId="00000041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</w:p>
    <w:p w14:paraId="00000042">
      <w:pPr>
        <w:pStyle w:val="Heading2"/>
        <w:spacing w:before="0" w:line="276" w:lineRule="auto"/>
        <w:ind w:firstLine="709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2. Порядок приема на обучение</w:t>
      </w:r>
    </w:p>
    <w:p w14:paraId="00000043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2.1. Прием на обучение осуществляется на основании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присоединения к публичной оферте на оказание платных образовательных услуг, размещенной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на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сайте Организации.</w:t>
      </w:r>
    </w:p>
    <w:p w14:paraId="00000044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2.2. Для зачисления требуется представление следующих сведений:</w:t>
      </w:r>
    </w:p>
    <w:p w14:paraId="00000045">
      <w:pPr>
        <w:pStyle w:val="ListBullet"/>
        <w:spacing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фамилия, имя, отчество (при наличии);</w:t>
      </w:r>
    </w:p>
    <w:p w14:paraId="00000046">
      <w:pPr>
        <w:pStyle w:val="ListBullet"/>
        <w:spacing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контактные данные (телефон, адрес электронной почты);</w:t>
      </w:r>
    </w:p>
    <w:p w14:paraId="00000047">
      <w:pPr>
        <w:pStyle w:val="ListBullet"/>
        <w:spacing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согласие на обработку персональных данных;</w:t>
      </w:r>
    </w:p>
    <w:p w14:paraId="00000048">
      <w:pPr>
        <w:pStyle w:val="ListBullet"/>
        <w:spacing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подтверждение ознакомления с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условиями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договор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а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об оказании платных образовательных услуг.</w:t>
      </w:r>
    </w:p>
    <w:p w14:paraId="00000049">
      <w:pPr>
        <w:pStyle w:val="ListBullet"/>
        <w:numPr>
          <w:ilvl w:val="0"/>
          <w:numId w:val="0"/>
        </w:numPr>
        <w:spacing w:after="0" w:line="276" w:lineRule="auto"/>
        <w:ind w:left="0" w:right="0" w:firstLine="672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Прием документов ведется на русском языке.</w:t>
      </w:r>
    </w:p>
    <w:p w14:paraId="0000004A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2.3. Лицо считается зачисленным с момента оформления договора об оказании платных образовательных услуг и оплаты установленной стоимости обучения.</w:t>
      </w:r>
    </w:p>
    <w:p w14:paraId="0000004B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2.4. Прием проводится круглогодично, при наличии свободных мест в группах.</w:t>
      </w:r>
    </w:p>
    <w:p w14:paraId="0000004C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2.5. Прием  производится на основе добровольного выбора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обучающихся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в соответствии с их пожеланиями, наклонностями, с учетом состояния здоровья.</w:t>
      </w:r>
    </w:p>
    <w:p w14:paraId="0000004D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2.6. Каждый учащийся имеет право заниматься в нескольких группах с учетом требований санитарных норм, регламентирующих режим организации работы с учащимися по максимальной нагрузке в зависимости от их возраста.</w:t>
      </w:r>
    </w:p>
    <w:p w14:paraId="0000004E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Прием обучающихся проводится в соответствии с условиями реализации программы, возрастными особенностями, независимо от уровня их подготовки по данному направлению.</w:t>
      </w:r>
    </w:p>
    <w:p w14:paraId="0000004F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2.7. В приеме в группы может быть отказано:</w:t>
      </w:r>
    </w:p>
    <w:p w14:paraId="00000050">
      <w:pPr>
        <w:numPr>
          <w:ilvl w:val="0"/>
          <w:numId w:val="12"/>
        </w:numPr>
        <w:spacing w:after="0" w:line="276" w:lineRule="auto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По причине отсутствия свободных мест;</w:t>
      </w:r>
    </w:p>
    <w:p w14:paraId="00000051">
      <w:pPr>
        <w:numPr>
          <w:ilvl w:val="0"/>
          <w:numId w:val="12"/>
        </w:numPr>
        <w:spacing w:after="0" w:line="276" w:lineRule="auto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По медицинским показателям;</w:t>
      </w:r>
    </w:p>
    <w:p w14:paraId="00000052">
      <w:pPr>
        <w:numPr>
          <w:ilvl w:val="0"/>
          <w:numId w:val="12"/>
        </w:numPr>
        <w:spacing w:after="0" w:line="276" w:lineRule="auto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По причине несоответствия возраста обучающегося программе.</w:t>
      </w:r>
    </w:p>
    <w:p w14:paraId="00000053">
      <w:pPr>
        <w:spacing w:after="0" w:line="276" w:lineRule="auto"/>
        <w:ind w:right="0" w:firstLine="752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2.8. Место за обучающимся сохраняется на время его отсутствия в случаях болезни, карантина, прохождения лечения, отпуска родителя (законного представителя) при устном заявлении родителя.</w:t>
      </w:r>
    </w:p>
    <w:p w14:paraId="00000054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</w:p>
    <w:p w14:paraId="00000055">
      <w:pPr>
        <w:pStyle w:val="Heading2"/>
        <w:spacing w:before="0" w:line="276" w:lineRule="auto"/>
        <w:ind w:firstLine="709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3. Порядок перевода обучающихся</w:t>
      </w:r>
    </w:p>
    <w:p w14:paraId="00000056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3.1. Перевод обучающегося внутри Организации (на другую программу или группу) осуществляется по письменному заявлению обучающегося при наличии технической и организационной возможности.</w:t>
      </w:r>
    </w:p>
    <w:p w14:paraId="00000057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3.2. Перевод на программы других образовательных организаций осуществляется в соответствии с порядком, установленным принимающей организацией.</w:t>
      </w:r>
    </w:p>
    <w:p w14:paraId="00000058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3.3. Основаниями для перевода могут являться:</w:t>
      </w:r>
    </w:p>
    <w:p w14:paraId="00000059">
      <w:pPr>
        <w:pStyle w:val="ListBullet"/>
        <w:spacing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изменение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образовательных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потребностей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обучающегося</w:t>
      </w:r>
      <w:r>
        <w:rPr>
          <w:rFonts w:ascii="Times New Roman" w:cs="Times New Roman" w:hAnsi="Times New Roman"/>
          <w:sz w:val="24"/>
          <w:szCs w:val="24"/>
          <w:highlight w:val="none"/>
        </w:rPr>
        <w:t>;</w:t>
      </w:r>
    </w:p>
    <w:p w14:paraId="0000005A">
      <w:pPr>
        <w:pStyle w:val="ListBullet"/>
        <w:spacing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невозможность продолжения обучения на текущей программе;</w:t>
      </w:r>
    </w:p>
    <w:p w14:paraId="0000005B">
      <w:pPr>
        <w:pStyle w:val="ListBullet"/>
        <w:spacing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  <w:r>
        <w:rPr>
          <w:rFonts w:ascii="Times New Roman" w:cs="Times New Roman" w:hAnsi="Times New Roman"/>
          <w:sz w:val="24"/>
          <w:szCs w:val="24"/>
          <w:highlight w:val="none"/>
        </w:rPr>
        <w:t>личное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>заявление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 </w:t>
      </w:r>
      <w:r>
        <w:rPr>
          <w:rFonts w:ascii="Times New Roman" w:cs="Times New Roman" w:hAnsi="Times New Roman"/>
          <w:sz w:val="24"/>
          <w:szCs w:val="24"/>
          <w:highlight w:val="none"/>
        </w:rPr>
        <w:t xml:space="preserve">обучающегося,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его родителя (законного представителя)</w:t>
      </w:r>
      <w:r>
        <w:rPr>
          <w:rFonts w:ascii="Times New Roman" w:cs="Times New Roman" w:hAnsi="Times New Roman"/>
          <w:sz w:val="24"/>
          <w:szCs w:val="24"/>
          <w:highlight w:val="none"/>
        </w:rPr>
        <w:t>.</w:t>
      </w:r>
    </w:p>
    <w:p w14:paraId="0000005C">
      <w:pPr>
        <w:pStyle w:val="ListBullet"/>
        <w:numPr>
          <w:ilvl w:val="0"/>
          <w:numId w:val="0"/>
        </w:numPr>
        <w:spacing w:after="0" w:line="276" w:lineRule="auto"/>
        <w:ind w:left="709"/>
        <w:jc w:val="both"/>
        <w:rPr>
          <w:rFonts w:ascii="Times New Roman" w:cs="Times New Roman" w:hAnsi="Times New Roman"/>
          <w:sz w:val="24"/>
          <w:szCs w:val="24"/>
          <w:highlight w:val="none"/>
        </w:rPr>
      </w:pPr>
    </w:p>
    <w:p w14:paraId="0000005D">
      <w:pPr>
        <w:pStyle w:val="Heading2"/>
        <w:spacing w:before="0" w:line="276" w:lineRule="auto"/>
        <w:ind w:firstLine="709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</w:rPr>
        <w:t>4. Основания и порядок отчисления обучающихся</w:t>
      </w:r>
    </w:p>
    <w:p w14:paraId="0000005E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4.1. Обучающийся может быть отчислен из Организации по следующим основаниям:</w:t>
      </w:r>
    </w:p>
    <w:p w14:paraId="0000005F">
      <w:pPr>
        <w:pStyle w:val="ListBullet"/>
        <w:spacing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завершение обучения и выполнение программы в полном объеме;</w:t>
      </w:r>
    </w:p>
    <w:p w14:paraId="00000060">
      <w:pPr>
        <w:pStyle w:val="ListBullet"/>
        <w:spacing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личное заявление обучающегося об отчислении;</w:t>
      </w:r>
    </w:p>
    <w:p w14:paraId="00000061">
      <w:pPr>
        <w:pStyle w:val="ListBullet"/>
        <w:spacing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систематическое нарушение Правил внутреннего распорядка обучающихся;</w:t>
      </w:r>
    </w:p>
    <w:p w14:paraId="00000062">
      <w:pPr>
        <w:pStyle w:val="ListBullet"/>
        <w:spacing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неисполнение условий договора об оказании платных образовательных услуг;</w:t>
      </w:r>
    </w:p>
    <w:p w14:paraId="00000063">
      <w:pPr>
        <w:pStyle w:val="ListBullet"/>
        <w:spacing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отсутствие оплаты обучения в установленные сроки;</w:t>
      </w:r>
    </w:p>
    <w:p w14:paraId="00000064">
      <w:pPr>
        <w:pStyle w:val="ListBullet"/>
        <w:spacing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нарушение требований этикета и норм общения;</w:t>
      </w:r>
    </w:p>
    <w:p w14:paraId="00000065">
      <w:pPr>
        <w:pStyle w:val="ListBullet"/>
        <w:spacing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наличие медицинского заключения о состоянии здоровья учащегося, препятствующего дальнейшему обучению;</w:t>
      </w:r>
    </w:p>
    <w:p w14:paraId="00000066">
      <w:pPr>
        <w:pStyle w:val="ListBullet"/>
        <w:spacing w:after="0" w:line="276" w:lineRule="auto"/>
        <w:ind w:left="0"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обстоятельства, не зависящие от води учащегося и Организации, в том числе в случае ликвидации Организации.</w:t>
      </w:r>
    </w:p>
    <w:p w14:paraId="00000067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4.2.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Решение об отчислении принимается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Организацией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и оформляется приказом. При этом Договор об оказании платных образовательных услуг расторгается.</w:t>
      </w:r>
    </w:p>
    <w:p w14:paraId="00000068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4.3.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Обучающийся, его родители (законные представители) уведомляется об отчислении по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телефону, электронной почте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 или иному указанному каналу связи.</w:t>
      </w:r>
    </w:p>
    <w:p w14:paraId="00000069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</w:p>
    <w:p w14:paraId="0000006A">
      <w:pPr>
        <w:pStyle w:val="Heading2"/>
        <w:spacing w:before="0" w:line="276" w:lineRule="auto"/>
        <w:ind w:firstLine="709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5. Порядок восстановления обучающихся</w:t>
      </w:r>
    </w:p>
    <w:p w14:paraId="0000006B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5.1. Восстановление возможно при наличии свободных мест и технической возможности предоставления доступа к программе.</w:t>
      </w:r>
    </w:p>
    <w:p w14:paraId="0000006C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5.2. Для восстановления обучающийся подает соответствующее заявление.</w:t>
      </w:r>
    </w:p>
    <w:p w14:paraId="0000006D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5.3.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Восстановление осуществляется на условиях новой оплаты в соответствии с действующим прейскурантом.</w:t>
      </w:r>
    </w:p>
    <w:p w14:paraId="0000006E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</w:p>
    <w:p w14:paraId="0000006F">
      <w:pPr>
        <w:pStyle w:val="Heading2"/>
        <w:spacing w:before="0" w:line="276" w:lineRule="auto"/>
        <w:ind w:firstLine="709"/>
        <w:jc w:val="both"/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color w:val="auto"/>
          <w:sz w:val="24"/>
          <w:szCs w:val="24"/>
          <w:highlight w:val="none"/>
          <w:lang w:val="ru-RU"/>
        </w:rPr>
        <w:t>6. Заключительные положения</w:t>
      </w:r>
    </w:p>
    <w:p w14:paraId="00000070">
      <w:pPr>
        <w:spacing w:after="0" w:line="276" w:lineRule="auto"/>
        <w:ind w:firstLine="709"/>
        <w:jc w:val="both"/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6.1. Настоящее Положение вступает в силу с момента его утверждения приказом по 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Организации</w:t>
      </w:r>
      <w:r>
        <w:rPr>
          <w:rFonts w:ascii="Times New Roman" w:cs="Times New Roman" w:hAnsi="Times New Roman"/>
          <w:color w:val="000000" w:themeColor="text1"/>
          <w:sz w:val="24"/>
          <w:szCs w:val="24"/>
          <w:highlight w:val="none"/>
          <w:lang w:val="ru-RU"/>
        </w:rPr>
        <w:t>.</w:t>
      </w:r>
    </w:p>
    <w:p w14:paraId="00000071">
      <w:pPr>
        <w:spacing w:after="0" w:line="276" w:lineRule="auto"/>
        <w:ind w:firstLine="709"/>
        <w:jc w:val="both"/>
        <w:rPr>
          <w:rFonts w:ascii="Times New Roman" w:cs="Times New Roman" w:hAnsi="Times New Roman"/>
          <w:sz w:val="24"/>
          <w:szCs w:val="24"/>
          <w:highlight w:val="none"/>
          <w:lang w:val="ru-RU"/>
        </w:rPr>
      </w:pP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 xml:space="preserve">6.2. Изменения и дополнения в Положение утверждаются приказом по 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Организации</w:t>
      </w:r>
      <w:r>
        <w:rPr>
          <w:rFonts w:ascii="Times New Roman" w:cs="Times New Roman" w:hAnsi="Times New Roman"/>
          <w:sz w:val="24"/>
          <w:szCs w:val="24"/>
          <w:highlight w:val="none"/>
          <w:lang w:val="ru-RU"/>
        </w:rPr>
        <w:t>.</w:t>
      </w:r>
    </w:p>
    <w:sectPr>
      <w:pgSz w:w="12240" w:h="15840"/>
      <w:pgMar w:top="763" w:right="9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0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0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Segoe UI">
    <w:charset w:val="0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singleLevel"/>
    <w:lvl w:ilvl="0" w:tentative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multiLevelType w:val="singleLevel"/>
    <w:lvl w:ilvl="0" w:tentative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multiLevelType w:val="singleLevel"/>
    <w:lvl w:ilvl="0" w:tentative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multiLevelType w:val="singleLevel"/>
    <w:lvl w:ilvl="0" w:tentative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multiLevelType w:val="singleLevel"/>
    <w:lvl w:ilvl="0" w:tentative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multiLevelType w:val="singleLevel"/>
    <w:lvl w:ilvl="0" w:tentative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multiLevelType w:val="singleLevel"/>
    <w:lvl w:ilvl="0" w:tentative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multiLevelType w:val="singleLevel"/>
    <w:lvl w:ilvl="0" w:tentative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multiLevelType w:val="singleLevel"/>
    <w:lvl w:ilvl="0" w:tentative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 w:tentative="0">
      <w:start w:val="1"/>
      <w:numFmt w:val="decimal"/>
      <w:isLgl w:val="off"/>
      <w:suff w:val="tab"/>
      <w:lvlText w:val="%1."/>
      <w:lvlJc w:val="left"/>
      <w:pPr>
        <w:ind w:left="72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44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16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288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60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32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04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576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480" w:hanging="360"/>
      </w:pPr>
    </w:lvl>
  </w:abstractNum>
  <w:abstractNum w:abstractNumId="11">
    <w:multiLevelType w:val="hybridMultilevel"/>
    <w:lvl w:ilvl="0" w:tentative="0">
      <w:start w:val="1"/>
      <w:numFmt w:val="bullet"/>
      <w:isLgl w:val="off"/>
      <w:suff w:val="tab"/>
      <w:lvlText w:val="-"/>
      <w:lvlJc w:val="left"/>
      <w:pPr>
        <w:ind w:left="1428" w:hanging="360"/>
      </w:pPr>
      <w:rPr>
        <w:rFonts w:ascii="Calibri" w:hAnsi="Calibri"/>
      </w:rPr>
    </w:lvl>
    <w:lvl w:ilvl="1" w:tentative="1">
      <w:start w:val="1"/>
      <w:numFmt w:val="bullet"/>
      <w:isLgl w:val="off"/>
      <w:suff w:val="tab"/>
      <w:lvlText w:val="o"/>
      <w:lvlJc w:val="left"/>
      <w:pPr>
        <w:ind w:left="2148" w:hanging="360"/>
      </w:pPr>
      <w:rPr>
        <w:rFonts w:ascii="Courier New" w:hAnsi="Courier New"/>
      </w:rPr>
    </w:lvl>
    <w:lvl w:ilvl="2" w:tentative="1">
      <w:start w:val="1"/>
      <w:numFmt w:val="bullet"/>
      <w:isLgl w:val="off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 w:tentative="1">
      <w:start w:val="1"/>
      <w:numFmt w:val="bullet"/>
      <w:isLgl w:val="off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 w:tentative="1">
      <w:start w:val="1"/>
      <w:numFmt w:val="bullet"/>
      <w:isLgl w:val="off"/>
      <w:suff w:val="tab"/>
      <w:lvlText w:val="o"/>
      <w:lvlJc w:val="left"/>
      <w:pPr>
        <w:ind w:left="4308" w:hanging="360"/>
      </w:pPr>
      <w:rPr>
        <w:rFonts w:ascii="Courier New" w:hAnsi="Courier New"/>
      </w:rPr>
    </w:lvl>
    <w:lvl w:ilvl="5" w:tentative="1">
      <w:start w:val="1"/>
      <w:numFmt w:val="bullet"/>
      <w:isLgl w:val="off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 w:tentative="1">
      <w:start w:val="1"/>
      <w:numFmt w:val="bullet"/>
      <w:isLgl w:val="off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 w:tentative="1">
      <w:start w:val="1"/>
      <w:numFmt w:val="bullet"/>
      <w:isLgl w:val="off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 w:tentative="1">
      <w:start w:val="1"/>
      <w:numFmt w:val="bullet"/>
      <w:isLgl w:val="off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2D78"/>
    <w:rsid w:val="0029639D"/>
    <w:rsid w:val="00326F90"/>
    <w:rsid w:val="004C5711"/>
    <w:rsid w:val="007448B1"/>
    <w:rsid w:val="00AA1D8D"/>
    <w:rsid w:val="00B47730"/>
    <w:rsid w:val="00B54D42"/>
    <w:rsid w:val="00CB0664"/>
    <w:rsid w:val="00E577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0CB5D9"/>
  <w14:defaultImageDpi w14:val="300"/>
  <w15:docId w15:val="{A2FE27C3-8529-4A55-BFBF-4B4B2D2BF9A5}"/>
  <w:footnotePr/>
  <w:endnotePr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character" w:styleId="Hyperlink">
    <w:name w:val="Hyperlink"/>
    <w:uiPriority w:val="99"/>
    <w:unhideWhenUsed w:val="on"/>
    <w:rPr>
      <w:color w:val="0000ff" w:themeColor="hyperlink"/>
      <w:u w:val="single"/>
    </w:rPr>
  </w:style>
  <w:style w:type="character" w:styleId="FollowedHyperlink">
    <w:name w:val="FollowedHyperlink"/>
    <w:uiPriority w:val="99"/>
    <w:semiHidden w:val="on"/>
    <w:unhideWhenUsed w:val="on"/>
    <w:rPr>
      <w:color w:val="800080" w:themeColor="followedHyperlink"/>
      <w:u w:val="single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Заголовок2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Заголовок3Знак"/>
    <w:uiPriority w:val="9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Заголовок4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Заголовок5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Заголовок6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Заголовок7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Заголовок8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Заголовок9Знак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Заголовок2Знак">
    <w:name w:val="Заголовок 2 Знак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Заголовок3Знак">
    <w:name w:val="Заголовок 3 Знак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Title">
    <w:name w:val="Title"/>
    <w:basedOn w:val="Normal"/>
    <w:next w:val="Normal"/>
    <w:link w:val="ЗаголовокЗнак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ЗаголовокЗнак">
    <w:name w:val="Заголовок Знак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ПодзаголовокЗнак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ПодзаголовокЗнак">
    <w:name w:val="Подзаголовок Знак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BodyText">
    <w:name w:val="Body Text"/>
    <w:basedOn w:val="Normal"/>
    <w:link w:val="ОсновнойтекстЗнак"/>
    <w:uiPriority w:val="99"/>
    <w:unhideWhenUsed w:val="on"/>
    <w:pPr>
      <w:spacing w:after="120"/>
    </w:p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</w:style>
  <w:style w:type="paragraph" w:styleId="BodyText2">
    <w:name w:val="Body Text 2"/>
    <w:basedOn w:val="Normal"/>
    <w:link w:val="Основнойтекст2Знак"/>
    <w:uiPriority w:val="99"/>
    <w:unhideWhenUsed w:val="on"/>
    <w:pPr>
      <w:spacing w:after="120" w:line="480" w:lineRule="auto"/>
    </w:pPr>
  </w:style>
  <w:style w:type="character" w:customStyle="1" w:styleId="Основнойтекст2Знак">
    <w:name w:val="Основной текст 2 Знак"/>
    <w:basedOn w:val="DefaultParagraphFont"/>
    <w:link w:val="BodyText2"/>
    <w:uiPriority w:val="99"/>
  </w:style>
  <w:style w:type="paragraph" w:styleId="BodyText3">
    <w:name w:val="Body Text 3"/>
    <w:basedOn w:val="Normal"/>
    <w:link w:val="Основнойтекст3Знак"/>
    <w:uiPriority w:val="99"/>
    <w:unhideWhenUsed w:val="on"/>
    <w:pPr>
      <w:spacing w:after="120"/>
    </w:pPr>
    <w:rPr>
      <w:sz w:val="16"/>
      <w:szCs w:val="16"/>
    </w:rPr>
  </w:style>
  <w:style w:type="character" w:customStyle="1" w:styleId="Основнойтекст3Знак">
    <w:name w:val="Основной текст 3 Знак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 w:val="on"/>
    <w:pPr>
      <w:ind w:left="360" w:hanging="360"/>
      <w:contextualSpacing w:val="on"/>
    </w:pPr>
  </w:style>
  <w:style w:type="paragraph" w:styleId="List2">
    <w:name w:val="List 2"/>
    <w:basedOn w:val="Normal"/>
    <w:uiPriority w:val="99"/>
    <w:unhideWhenUsed w:val="on"/>
    <w:pPr>
      <w:ind w:left="720" w:hanging="360"/>
      <w:contextualSpacing w:val="on"/>
    </w:pPr>
  </w:style>
  <w:style w:type="paragraph" w:styleId="List3">
    <w:name w:val="List 3"/>
    <w:basedOn w:val="Normal"/>
    <w:uiPriority w:val="99"/>
    <w:unhideWhenUsed w:val="on"/>
    <w:pPr>
      <w:ind w:left="1080" w:hanging="360"/>
      <w:contextualSpacing w:val="on"/>
    </w:pPr>
  </w:style>
  <w:style w:type="paragraph" w:styleId="ListBullet">
    <w:name w:val="List Bullet"/>
    <w:basedOn w:val="Normal"/>
    <w:uiPriority w:val="99"/>
    <w:unhideWhenUsed w:val="on"/>
    <w:pPr>
      <w:numPr>
        <w:ilvl w:val="0"/>
        <w:numId w:val="1"/>
      </w:numPr>
      <w:contextualSpacing w:val="on"/>
    </w:pPr>
  </w:style>
  <w:style w:type="paragraph" w:styleId="ListBullet2">
    <w:name w:val="List Bullet 2"/>
    <w:basedOn w:val="Normal"/>
    <w:uiPriority w:val="99"/>
    <w:unhideWhenUsed w:val="on"/>
    <w:pPr>
      <w:numPr>
        <w:ilvl w:val="0"/>
        <w:numId w:val="2"/>
      </w:numPr>
      <w:contextualSpacing w:val="on"/>
    </w:pPr>
  </w:style>
  <w:style w:type="paragraph" w:styleId="ListBullet3">
    <w:name w:val="List Bullet 3"/>
    <w:basedOn w:val="Normal"/>
    <w:uiPriority w:val="99"/>
    <w:unhideWhenUsed w:val="on"/>
    <w:pPr>
      <w:numPr>
        <w:ilvl w:val="0"/>
        <w:numId w:val="3"/>
      </w:numPr>
      <w:contextualSpacing w:val="on"/>
    </w:pPr>
  </w:style>
  <w:style w:type="paragraph" w:styleId="ListNumber">
    <w:name w:val="List Number"/>
    <w:basedOn w:val="Normal"/>
    <w:uiPriority w:val="99"/>
    <w:unhideWhenUsed w:val="on"/>
    <w:pPr>
      <w:numPr>
        <w:ilvl w:val="0"/>
        <w:numId w:val="5"/>
      </w:numPr>
      <w:contextualSpacing w:val="on"/>
    </w:pPr>
  </w:style>
  <w:style w:type="paragraph" w:styleId="ListNumber2">
    <w:name w:val="List Number 2"/>
    <w:basedOn w:val="Normal"/>
    <w:uiPriority w:val="99"/>
    <w:unhideWhenUsed w:val="on"/>
    <w:pPr>
      <w:numPr>
        <w:ilvl w:val="0"/>
        <w:numId w:val="6"/>
      </w:numPr>
      <w:contextualSpacing w:val="on"/>
    </w:pPr>
  </w:style>
  <w:style w:type="paragraph" w:styleId="ListNumber3">
    <w:name w:val="List Number 3"/>
    <w:basedOn w:val="Normal"/>
    <w:uiPriority w:val="99"/>
    <w:unhideWhenUsed w:val="on"/>
    <w:pPr>
      <w:numPr>
        <w:ilvl w:val="0"/>
        <w:numId w:val="7"/>
      </w:numPr>
      <w:contextualSpacing w:val="on"/>
    </w:pPr>
  </w:style>
  <w:style w:type="paragraph" w:styleId="ListContinue">
    <w:name w:val="List Continue"/>
    <w:basedOn w:val="Normal"/>
    <w:uiPriority w:val="99"/>
    <w:unhideWhenUsed w:val="on"/>
    <w:pPr>
      <w:spacing w:after="120"/>
      <w:ind w:left="360"/>
      <w:contextualSpacing w:val="on"/>
    </w:pPr>
  </w:style>
  <w:style w:type="paragraph" w:styleId="ListContinue2">
    <w:name w:val="List Continue 2"/>
    <w:basedOn w:val="Normal"/>
    <w:uiPriority w:val="99"/>
    <w:unhideWhenUsed w:val="on"/>
    <w:pPr>
      <w:spacing w:after="120"/>
      <w:ind w:left="720"/>
      <w:contextualSpacing w:val="on"/>
    </w:pPr>
  </w:style>
  <w:style w:type="paragraph" w:styleId="ListContinue3">
    <w:name w:val="List Continue 3"/>
    <w:basedOn w:val="Normal"/>
    <w:uiPriority w:val="99"/>
    <w:unhideWhenUsed w:val="on"/>
    <w:pPr>
      <w:spacing w:after="120"/>
      <w:ind w:left="1080"/>
      <w:contextualSpacing w:val="on"/>
    </w:pPr>
  </w:style>
  <w:style w:type="paragraph" w:styleId="Macro">
    <w:name w:val="Macro"/>
    <w:link w:val="ТекстмакросаЗнак"/>
    <w:uiPriority w:val="99"/>
    <w:unhideWhenUsed w:val="on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ТекстмакросаЗнак">
    <w:name w:val="Текст макроса Знак"/>
    <w:basedOn w:val="DefaultParagraphFont"/>
    <w:link w:val="Macro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Цитата2Знак"/>
    <w:uiPriority w:val="29"/>
    <w:qFormat w:val="on"/>
    <w:rPr>
      <w:i/>
      <w:iCs/>
      <w:color w:val="000000" w:themeColor="text1"/>
    </w:rPr>
  </w:style>
  <w:style w:type="character" w:customStyle="1" w:styleId="Цитата2Знак">
    <w:name w:val="Цитата 2 Знак"/>
    <w:basedOn w:val="DefaultParagraphFont"/>
    <w:link w:val="Quote"/>
    <w:uiPriority w:val="29"/>
    <w:rPr>
      <w:i/>
      <w:iCs/>
      <w:color w:val="000000" w:themeColor="text1"/>
    </w:rPr>
  </w:style>
  <w:style w:type="character" w:customStyle="1" w:styleId="Заголовок4Знак">
    <w:name w:val="Заголовок 4 Знак"/>
    <w:basedOn w:val="DefaultParagraphFont"/>
    <w:link w:val="Heading4"/>
    <w:uiPriority w:val="9"/>
    <w:semiHidden w:val="on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Заголовок5Знак">
    <w:name w:val="Заголовок 5 Знак"/>
    <w:basedOn w:val="DefaultParagraphFont"/>
    <w:link w:val="Heading5"/>
    <w:uiPriority w:val="9"/>
    <w:semiHidden w:val="on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Заголовок6Знак">
    <w:name w:val="Заголовок 6 Знак"/>
    <w:basedOn w:val="DefaultParagraphFont"/>
    <w:link w:val="Heading6"/>
    <w:uiPriority w:val="9"/>
    <w:semiHidden w:val="on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Заголовок7Знак">
    <w:name w:val="Заголовок 7 Знак"/>
    <w:basedOn w:val="DefaultParagraphFont"/>
    <w:link w:val="Heading7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Заголовок8Знак">
    <w:name w:val="Заголовок 8 Знак"/>
    <w:basedOn w:val="DefaultParagraphFont"/>
    <w:link w:val="Heading8"/>
    <w:uiPriority w:val="9"/>
    <w:semiHidden w:val="on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customStyle="1" w:styleId="Заголовок9Знак">
    <w:name w:val="Заголовок 9 Знак"/>
    <w:basedOn w:val="DefaultParagraphFont"/>
    <w:link w:val="Heading9"/>
    <w:uiPriority w:val="9"/>
    <w:semiHidden w:val="on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on"/>
    <w:unhideWhenUsed w:val="on"/>
    <w:qFormat w:val="on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paragraph" w:styleId="IntenseQuote">
    <w:name w:val="Intense Quote"/>
    <w:basedOn w:val="Normal"/>
    <w:next w:val="Normal"/>
    <w:link w:val="ВыделеннаяцитатаЗнак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ВыделеннаяцитатаЗнак">
    <w:name w:val="Выделенная цитата Знак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 w:val="on"/>
    <w:unhideWhenUsed w:val="on"/>
    <w:qFormat w:val="on"/>
    <w:pPr/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NormalTable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 w:sz="4" w:space="0"/>
          <w:bottom w:val="single" w:color="000000" w:themeColor="tex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NormalTable"/>
    <w:uiPriority w:val="60"/>
    <w:pPr>
      <w:spacing w:after="0" w:line="240" w:lineRule="auto"/>
    </w:pPr>
    <w:rPr>
      <w:color w:val="3760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 w:sz="4" w:space="0"/>
          <w:bottom w:val="single" w:color="4f81bd" w:themeColor="accent1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</w:style>
  <w:style w:type="table" w:styleId="LightShadingAccent2">
    <w:name w:val="Light Shading Accent 2"/>
    <w:basedOn w:val="NormalTable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 w:sz="4" w:space="0"/>
          <w:bottom w:val="single" w:color="c0504d" w:themeColor="accent2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</w:style>
  <w:style w:type="table" w:styleId="LightShadingAccent3">
    <w:name w:val="Light Shading Accent 3"/>
    <w:basedOn w:val="NormalTable"/>
    <w:uiPriority w:val="60"/>
    <w:pPr>
      <w:spacing w:after="0" w:line="240" w:lineRule="auto"/>
    </w:pPr>
    <w:rPr>
      <w:color w:val="75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 w:sz="4" w:space="0"/>
          <w:bottom w:val="single" w:color="9bbb59" w:themeColor="accent3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</w:style>
  <w:style w:type="table" w:styleId="LightShadingAccent4">
    <w:name w:val="Light Shading Accent 4"/>
    <w:basedOn w:val="NormalTable"/>
    <w:uiPriority w:val="60"/>
    <w:pPr>
      <w:spacing w:after="0" w:line="240" w:lineRule="auto"/>
    </w:pPr>
    <w:rPr>
      <w:color w:val="60497b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 w:sz="4" w:space="0"/>
          <w:bottom w:val="single" w:color="8064a2" w:themeColor="accent4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NormalTable"/>
    <w:uiPriority w:val="60"/>
    <w:pPr>
      <w:spacing w:after="0" w:line="240" w:lineRule="auto"/>
    </w:pPr>
    <w:rPr>
      <w:color w:val="318399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 w:sz="4" w:space="0"/>
          <w:bottom w:val="single" w:color="4bacc6" w:themeColor="accent5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</w:style>
  <w:style w:type="table" w:styleId="LightShadingAccent6">
    <w:name w:val="Light Shading Accent 6"/>
    <w:basedOn w:val="NormalTable"/>
    <w:uiPriority w:val="60"/>
    <w:pPr>
      <w:spacing w:after="0" w:line="240" w:lineRule="auto"/>
    </w:pPr>
    <w:rPr>
      <w:color w:val="e2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 w:sz="4" w:space="0"/>
          <w:bottom w:val="single" w:color="f79646" w:themeColor="accent6" w:sz="8" w:space="0"/>
          <w:right w:val="nil" w:sz="4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</w:style>
  <w:style w:type="table" w:styleId="LightList">
    <w:name w:val="Light List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Accent1">
    <w:name w:val="Light List Accent 1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Accent2">
    <w:name w:val="Light List Accent 2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Accent3">
    <w:name w:val="Light List Accent 3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Accent4">
    <w:name w:val="Light List Accent 4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Accent5">
    <w:name w:val="Light List Accent 5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Accent6">
    <w:name w:val="Light List Accent 6"/>
    <w:basedOn w:val="NormalTable"/>
    <w:uiPriority w:val="61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 w:sz="4" w:space="0"/>
          <w:insideV w:val="single" w:color="000000" w:themeColor="tex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Accent1">
    <w:name w:val="Light Grid Accent 1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 w:sz="4" w:space="0"/>
          <w:insideV w:val="single" w:color="4f81bd" w:themeColor="accent1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Accent2">
    <w:name w:val="Light Grid Accent 2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 w:sz="4" w:space="0"/>
          <w:insideV w:val="single" w:color="c0504d" w:themeColor="accent2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Accent3">
    <w:name w:val="Light Grid Accent 3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 w:sz="4" w:space="0"/>
          <w:insideV w:val="single" w:color="9bbb59" w:themeColor="accent3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Accent4">
    <w:name w:val="Light Grid Accent 4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 w:sz="4" w:space="0"/>
          <w:insideV w:val="single" w:color="8064a2" w:themeColor="accent4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Accent5">
    <w:name w:val="Light Grid Accent 5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 w:sz="4" w:space="0"/>
          <w:insideV w:val="single" w:color="4bacc6" w:themeColor="accent5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Accent6">
    <w:name w:val="Light Grid Accent 6"/>
    <w:basedOn w:val="NormalTable"/>
    <w:uiPriority w:val="62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 w:sz="4" w:space="0"/>
          <w:insideV w:val="single" w:color="f79646" w:themeColor="accent6" w:sz="8" w:space="0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1">
    <w:name w:val="Medium Shading 1 Accent 1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2">
    <w:name w:val="Medium Shading 1 Accent 2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d07a78" w:themeColor="accent2" w:themeTint="bf" w:sz="8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d07a78" w:themeColor="accent2" w:themeTint="bf" w:sz="6" w:space="0"/>
          <w:left w:val="single" w:color="d07a78" w:themeColor="accent2" w:themeTint="bf" w:sz="8" w:space="0"/>
          <w:bottom w:val="single" w:color="d07a78" w:themeColor="accent2" w:themeTint="bf" w:sz="8" w:space="0"/>
          <w:right w:val="single" w:color="d07a78" w:themeColor="accent2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3">
    <w:name w:val="Medium Shading 1 Accent 3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4">
    <w:name w:val="Medium Shading 1 Accent 4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08bb9" w:themeColor="accent4" w:themeTint="bf" w:sz="8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08bb9" w:themeColor="accent4" w:themeTint="bf" w:sz="6" w:space="0"/>
          <w:left w:val="single" w:color="a08bb9" w:themeColor="accent4" w:themeTint="bf" w:sz="8" w:space="0"/>
          <w:bottom w:val="single" w:color="a08bb9" w:themeColor="accent4" w:themeTint="bf" w:sz="8" w:space="0"/>
          <w:right w:val="single" w:color="a08bb9" w:themeColor="accent4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5">
    <w:name w:val="Medium Shading 1 Accent 5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6c0d4" w:themeColor="accent5" w:themeTint="bf" w:sz="8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6c0d4" w:themeColor="accent5" w:themeTint="bf" w:sz="6" w:space="0"/>
          <w:left w:val="single" w:color="76c0d4" w:themeColor="accent5" w:themeTint="bf" w:sz="8" w:space="0"/>
          <w:bottom w:val="single" w:color="76c0d4" w:themeColor="accent5" w:themeTint="bf" w:sz="8" w:space="0"/>
          <w:right w:val="single" w:color="76c0d4" w:themeColor="accent5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1Accent6">
    <w:name w:val="Medium Shading 1 Accent 6"/>
    <w:basedOn w:val="NormalTable"/>
    <w:uiPriority w:val="63"/>
    <w:pPr>
      <w:spacing w:after="0" w:line="240" w:lineRule="auto"/>
    </w:pPr>
    <w:tblPr>
      <w:tblStyleRowBandSize w:val="1"/>
      <w:tblStyleColBandSize w:val="1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3" w:themeColor="accent6" w:themeTint="bf" w:sz="8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3" w:themeColor="accent6" w:themeTint="bf" w:sz="6" w:space="0"/>
          <w:left w:val="single" w:color="f9b073" w:themeColor="accent6" w:themeTint="bf" w:sz="8" w:space="0"/>
          <w:bottom w:val="single" w:color="f9b073" w:themeColor="accent6" w:themeTint="bf" w:sz="8" w:space="0"/>
          <w:right w:val="single" w:color="f9b073" w:themeColor="accent6" w:themeTint="bf" w:sz="8" w:space="0"/>
          <w:insideH w:val="nil" w:sz="4" w:space="0"/>
          <w:insideV w:val="nil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 w:sz="4" w:space="0"/>
          <w:insideV w:val="nil" w:sz="4" w:space="0"/>
        </w:tcBorders>
      </w:tcPr>
    </w:tblStylePr>
  </w:style>
  <w:style w:type="table" w:styleId="MediumShading2">
    <w:name w:val="Medium Shading 2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1">
    <w:name w:val="Medium Shading 2 Accent 1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2">
    <w:name w:val="Medium Shading 2 Accent 2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3">
    <w:name w:val="Medium Shading 2 Accent 3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4">
    <w:name w:val="Medium Shading 2 Accent 4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5">
    <w:name w:val="Medium Shading 2 Accent 5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Shading2Accent6">
    <w:name w:val="Medium Shading 2 Accent 6"/>
    <w:basedOn w:val="NormalTable"/>
    <w:uiPriority w:val="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 w:sz="4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 w:sz="4" w:space="0"/>
          <w:bottom w:val="single" w:color="auto" w:sz="18" w:space="0"/>
          <w:right w:val="nil" w:sz="4" w:space="0"/>
          <w:insideH w:val="nil" w:sz="4" w:space="0"/>
          <w:insideV w:val="nil" w:sz="4" w:space="0"/>
        </w:tcBorders>
      </w:tcPr>
    </w:tblStylePr>
  </w:style>
  <w:style w:type="table" w:styleId="MediumList1">
    <w:name w:val="Medium Lis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e0ef" w:themeFill="accent1" w:themeFillTint="3f"/>
      </w:tcPr>
    </w:tblStylePr>
    <w:tblStylePr w:type="band1Horz">
      <w:tblPr/>
      <w:tcPr>
        <w:shd w:val="clear" w:color="auto" w:fill="d3e0ef" w:themeFill="accent1" w:themeFillTint="3f"/>
      </w:tcPr>
    </w:tblStylePr>
  </w:style>
  <w:style w:type="table" w:styleId="MediumList1Accent2">
    <w:name w:val="Medium List 1 Accent 2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4d3" w:themeFill="accent2" w:themeFillTint="3f"/>
      </w:tcPr>
    </w:tblStylePr>
    <w:tblStylePr w:type="band1Horz">
      <w:tblPr/>
      <w:tcPr>
        <w:shd w:val="clear" w:color="auto" w:fill="efd4d3" w:themeFill="accent2" w:themeFillTint="3f"/>
      </w:tcPr>
    </w:tblStylePr>
  </w:style>
  <w:style w:type="table" w:styleId="MediumList1Accent3">
    <w:name w:val="Medium List 1 Accent 3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6" w:themeFill="accent3" w:themeFillTint="3f"/>
      </w:tcPr>
    </w:tblStylePr>
    <w:tblStylePr w:type="band1Horz">
      <w:tblPr/>
      <w:tcPr>
        <w:shd w:val="clear" w:color="auto" w:fill="e6eed6" w:themeFill="accent3" w:themeFillTint="3f"/>
      </w:tcPr>
    </w:tblStylePr>
  </w:style>
  <w:style w:type="table" w:styleId="MediumList1Accent4">
    <w:name w:val="Medium List 1 Accent 4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1eaf1" w:themeFill="accent5" w:themeFillTint="3f"/>
      </w:tcPr>
    </w:tblStylePr>
    <w:tblStylePr w:type="band1Horz">
      <w:tblPr/>
      <w:tcPr>
        <w:shd w:val="clear" w:color="auto" w:fill="d1eaf1" w:themeFill="accent5" w:themeFillTint="3f"/>
      </w:tcPr>
    </w:tblStylePr>
  </w:style>
  <w:style w:type="table" w:styleId="MediumList1Accent6">
    <w:name w:val="Medium List 1 Accent 6"/>
    <w:basedOn w:val="NormalTable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 w:sz="4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000000" w:themeColor="tex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000000" w:themeColor="tex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000000" w:themeColor="tex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1">
    <w:name w:val="Medium List 2 Accent 1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f81bd" w:themeColor="accent1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f81bd" w:themeColor="accent1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f81bd" w:themeColor="accent1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2">
    <w:name w:val="Medium List 2 Accent 2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c0504d" w:themeColor="accent2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c0504d" w:themeColor="accent2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3">
    <w:name w:val="Medium List 2 Accent 3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9bbb59" w:themeColor="accent3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9bbb59" w:themeColor="accent3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4">
    <w:name w:val="Medium List 2 Accent 4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8064a2" w:themeColor="accent4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8064a2" w:themeColor="accent4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5">
    <w:name w:val="Medium List 2 Accent 5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4bacc6" w:themeColor="accent5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4bacc6" w:themeColor="accent5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List2Accent6">
    <w:name w:val="Medium List 2 Accent 6"/>
    <w:basedOn w:val="NormalTable"/>
    <w:uiPriority w:val="66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79646" w:themeColor="accent6" w:sz="8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tblPr/>
      <w:tcPr>
        <w:tcBorders>
          <w:top w:val="nil" w:sz="4" w:space="0"/>
          <w:left w:val="single" w:color="f79646" w:themeColor="accent6" w:sz="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band1Vert">
      <w:tblPr/>
      <w:tcPr>
        <w:tcBorders>
          <w:left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 w:sz="4" w:space="0"/>
          <w:bottom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 w:sz="4" w:space="0"/>
        </w:tcBorders>
      </w:tcPr>
    </w:tblStylePr>
  </w:style>
  <w:style w:type="table" w:styleId="MediumGrid1">
    <w:name w:val="Medium Grid 1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e0e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MediumGrid1Accent2">
    <w:name w:val="Medium Grid 1 Accent 2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d07a78" w:themeColor="accent2" w:themeTint="bf" w:sz="8" w:space="0"/>
        <w:left w:val="single" w:color="d07a78" w:themeColor="accent2" w:themeTint="bf" w:sz="8" w:space="0"/>
        <w:bottom w:val="single" w:color="d07a78" w:themeColor="accent2" w:themeTint="bf" w:sz="8" w:space="0"/>
        <w:right w:val="single" w:color="d07a78" w:themeColor="accent2" w:themeTint="bf" w:sz="8" w:space="0"/>
        <w:insideH w:val="single" w:color="d07a78" w:themeColor="accent2" w:themeTint="bf" w:sz="8" w:space="0"/>
        <w:insideV w:val="single" w:color="d07a78" w:themeColor="accent2" w:themeTint="bf" w:sz="8" w:space="0"/>
      </w:tblBorders>
    </w:tblPr>
    <w:tcPr>
      <w:shd w:val="clear" w:color="auto" w:fill="efd4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07a78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MediumGrid1Accent3">
    <w:name w:val="Medium Grid 1 Accent 3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MediumGrid1Accent4">
    <w:name w:val="Medium Grid 1 Accent 4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a08bb9" w:themeColor="accent4" w:themeTint="bf" w:sz="8" w:space="0"/>
        <w:left w:val="single" w:color="a08bb9" w:themeColor="accent4" w:themeTint="bf" w:sz="8" w:space="0"/>
        <w:bottom w:val="single" w:color="a08bb9" w:themeColor="accent4" w:themeTint="bf" w:sz="8" w:space="0"/>
        <w:right w:val="single" w:color="a08bb9" w:themeColor="accent4" w:themeTint="bf" w:sz="8" w:space="0"/>
        <w:insideH w:val="single" w:color="a08bb9" w:themeColor="accent4" w:themeTint="bf" w:sz="8" w:space="0"/>
        <w:insideV w:val="single" w:color="a08b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a08b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MediumGrid1Accent5">
    <w:name w:val="Medium Grid 1 Accent 5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76c0d4" w:themeColor="accent5" w:themeTint="bf" w:sz="8" w:space="0"/>
        <w:left w:val="single" w:color="76c0d4" w:themeColor="accent5" w:themeTint="bf" w:sz="8" w:space="0"/>
        <w:bottom w:val="single" w:color="76c0d4" w:themeColor="accent5" w:themeTint="bf" w:sz="8" w:space="0"/>
        <w:right w:val="single" w:color="76c0d4" w:themeColor="accent5" w:themeTint="bf" w:sz="8" w:space="0"/>
        <w:insideH w:val="single" w:color="76c0d4" w:themeColor="accent5" w:themeTint="bf" w:sz="8" w:space="0"/>
        <w:insideV w:val="single" w:color="76c0d4" w:themeColor="accent5" w:themeTint="bf" w:sz="8" w:space="0"/>
      </w:tblBorders>
    </w:tblPr>
    <w:tcPr>
      <w:shd w:val="clear" w:color="auto" w:fill="d1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6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MediumGrid1Accent6">
    <w:name w:val="Medium Grid 1 Accent 6"/>
    <w:basedOn w:val="NormalTable"/>
    <w:uiPriority w:val="67"/>
    <w:pPr>
      <w:spacing w:after="0" w:line="240" w:lineRule="auto"/>
    </w:pPr>
    <w:tblPr>
      <w:tblStyleRowBandSize w:val="1"/>
      <w:tblStyleColBandSize w:val="1"/>
      <w:tblBorders>
        <w:top w:val="single" w:color="f9b073" w:themeColor="accent6" w:themeTint="bf" w:sz="8" w:space="0"/>
        <w:left w:val="single" w:color="f9b073" w:themeColor="accent6" w:themeTint="bf" w:sz="8" w:space="0"/>
        <w:bottom w:val="single" w:color="f9b073" w:themeColor="accent6" w:themeTint="bf" w:sz="8" w:space="0"/>
        <w:right w:val="single" w:color="f9b073" w:themeColor="accent6" w:themeTint="bf" w:sz="8" w:space="0"/>
        <w:insideH w:val="single" w:color="f9b073" w:themeColor="accent6" w:themeTint="bf" w:sz="8" w:space="0"/>
        <w:insideV w:val="single" w:color="f9b073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3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  <w:style w:type="table" w:styleId="MediumGrid2">
    <w:name w:val="Medium Grid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e0e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6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4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2dbda" w:themeFill="accent2" w:themeFillTint="33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6a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cdda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1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beef3" w:themeFill="accent5" w:themeFillTint="33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4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NormalTable"/>
    <w:uiPriority w:val="68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Col">
      <w:rPr>
        <w:b w:val="off"/>
        <w:bCs w:val="off"/>
        <w:color w:val="000000" w:themeColor="text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e0ef" w:themeFill="accent1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6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6bfde" w:themeFill="accent1" w:themeFillTint="7f"/>
      </w:tcPr>
    </w:tblStylePr>
  </w:style>
  <w:style w:type="table" w:styleId="MediumGrid3Accent2">
    <w:name w:val="Medium Grid 3 Accent 2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4d3" w:themeFill="accent2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dfa6a5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6a5" w:themeFill="accent2" w:themeFillTint="7f"/>
      </w:tcPr>
    </w:tblStylePr>
  </w:style>
  <w:style w:type="table" w:styleId="MediumGrid3Accent3">
    <w:name w:val="Medium Grid 3 Accent 3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6" w:themeFill="accent3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ccddab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cddab" w:themeFill="accent3" w:themeFillTint="7f"/>
      </w:tcPr>
    </w:tblStylePr>
  </w:style>
  <w:style w:type="table" w:styleId="MediumGrid3Accent4">
    <w:name w:val="Medium Grid 3 Accent 4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bfb1d1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1" w:themeFill="accent4" w:themeFillTint="7f"/>
      </w:tcPr>
    </w:tblStylePr>
  </w:style>
  <w:style w:type="table" w:styleId="MediumGrid3Accent5">
    <w:name w:val="Medium Grid 3 Accent 5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1eaf1" w:themeFill="accent5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a4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4d5e2" w:themeFill="accent5" w:themeFillTint="7f"/>
      </w:tcPr>
    </w:tblStylePr>
  </w:style>
  <w:style w:type="table" w:styleId="MediumGrid3Accent6">
    <w:name w:val="Medium Grid 3 Accent 6"/>
    <w:basedOn w:val="NormalTable"/>
    <w:uiPriority w:val="69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off"/>
        <w:iCs w:val="off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off"/>
        <w:iCs w:val="off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lastCol">
      <w:rPr>
        <w:b/>
        <w:bCs/>
        <w:i w:val="off"/>
        <w:iCs w:val="off"/>
        <w:color w:val="ffffff" w:themeColor="background1"/>
      </w:rPr>
      <w:tblPr/>
      <w:tcPr>
        <w:tcBorders>
          <w:top w:val="nil" w:sz="4" w:space="0"/>
          <w:left w:val="single" w:color="ffffff" w:themeColor="background1" w:sz="2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 w:sz="4" w:space="0"/>
          <w:insideV w:val="nil" w:sz="4" w:space="0"/>
        </w:tcBorders>
        <w:shd w:val="clear" w:color="auto" w:fill="fbcaa1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1" w:themeFill="accent6" w:themeFillTint="7f"/>
      </w:tcPr>
    </w:tblStylePr>
  </w:style>
  <w:style w:type="table" w:styleId="DarkList">
    <w:name w:val="Dark List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76091" w:themeFill="accent1" w:themeFillShade="bf"/>
      </w:tcPr>
    </w:tblStylePr>
  </w:style>
  <w:style w:type="table" w:styleId="DarkListAccent2">
    <w:name w:val="Dark List Accent 2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22422" w:themeFill="accent2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5923c" w:themeFill="accent3" w:themeFillShade="bf"/>
      </w:tcPr>
    </w:tblStylePr>
  </w:style>
  <w:style w:type="table" w:styleId="DarkListAccent4">
    <w:name w:val="Dark List Accent 4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60497b" w:themeFill="accent4" w:themeFillShade="bf"/>
      </w:tcPr>
    </w:tblStylePr>
  </w:style>
  <w:style w:type="table" w:styleId="DarkListAccent5">
    <w:name w:val="Dark List Accent 5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05766" w:themeFill="accent5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318399" w:themeFill="accent5" w:themeFillShade="bf"/>
      </w:tcPr>
    </w:tblStylePr>
  </w:style>
  <w:style w:type="table" w:styleId="DarkListAccent6">
    <w:name w:val="Dark List Accent 6"/>
    <w:basedOn w:val="NormalTable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fffff" w:themeColor="background1" w:sz="18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964706" w:themeFill="accent6" w:themeFillShade="7f"/>
      </w:tcPr>
    </w:tblStylePr>
    <w:tblStylePr w:type="firstCol">
      <w:tblPr/>
      <w:tcPr>
        <w:tcBorders>
          <w:top w:val="nil" w:sz="4" w:space="0"/>
          <w:left w:val="nil" w:sz="4" w:space="0"/>
          <w:bottom w:val="nil" w:sz="4" w:space="0"/>
          <w:right w:val="single" w:color="ffffff" w:themeColor="background1" w:sz="18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lastCol">
      <w:tblPr/>
      <w:tcPr>
        <w:tcBorders>
          <w:top w:val="nil" w:sz="4" w:space="0"/>
          <w:left w:val="single" w:color="ffffff" w:themeColor="background1" w:sz="18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  <w:tblStylePr w:type="band1Horz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26c0a" w:themeFill="accent6" w:themeFillShade="bf"/>
      </w:tcPr>
    </w:tblStylePr>
  </w:style>
  <w:style w:type="table" w:styleId="ColorfulShading">
    <w:name w:val="Colorful Shading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000000" w:themeColor="text1" w:themeShade="99" w:sz="4" w:space="0"/>
          <w:insideV w:val="nil" w:sz="4" w:space="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ef3f8" w:themeFill="accent1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d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c4d74" w:themeColor="accent1" w:themeShade="99" w:sz="4" w:space="0"/>
          <w:insideV w:val="nil" w:sz="4" w:space="0"/>
        </w:tcBorders>
        <w:shd w:val="clear" w:color="auto" w:fill="2c4d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c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6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9eded" w:themeFill="accent2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c0504d" w:themeColor="accent2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6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762c2a" w:themeColor="accent2" w:themeShade="99" w:sz="4" w:space="0"/>
          <w:insideV w:val="nil" w:sz="4" w:space="0"/>
        </w:tcBorders>
        <w:shd w:val="clear" w:color="auto" w:fill="76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76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6a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8064a2" w:themeColor="accent4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d74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5d7430" w:themeColor="accent3" w:themeShade="99" w:sz="4" w:space="0"/>
          <w:insideV w:val="nil" w:sz="4" w:space="0"/>
        </w:tcBorders>
        <w:shd w:val="clear" w:color="auto" w:fill="5d74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5d7430" w:themeFill="accent3" w:themeFillShade="99"/>
      </w:tcPr>
    </w:tblStylePr>
    <w:tblStylePr w:type="band1Vert">
      <w:tblPr/>
      <w:tcPr>
        <w:shd w:val="clear" w:color="auto" w:fill="d7e4bc" w:themeFill="accent3" w:themeFillTint="66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ShadingAccent4">
    <w:name w:val="Colorful Shading Accent 4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9bbb59" w:themeColor="accent3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4c3a62" w:themeColor="accent4" w:themeShade="99" w:sz="4" w:space="0"/>
          <w:insideV w:val="nil" w:sz="4" w:space="0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a" w:themeFill="accent4" w:themeFillTint="66"/>
      </w:tcPr>
    </w:tblStylePr>
    <w:tblStylePr w:type="band1Horz">
      <w:tblPr/>
      <w:tcPr>
        <w:shd w:val="clear" w:color="auto" w:fill="bfb1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f79646" w:themeColor="accent6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97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27697b" w:themeColor="accent5" w:themeShade="99" w:sz="4" w:space="0"/>
          <w:insideV w:val="nil" w:sz="4" w:space="0"/>
        </w:tcBorders>
        <w:shd w:val="clear" w:color="auto" w:fill="27697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27697b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4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NormalTable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 w:sz="4" w:space="0"/>
          <w:left w:val="nil" w:sz="4" w:space="0"/>
          <w:bottom w:val="single" w:color="4bacc6" w:themeColor="accent5" w:sz="24" w:space="0"/>
          <w:right w:val="nil" w:sz="4" w:space="0"/>
          <w:insideH w:val="nil" w:sz="4" w:space="0"/>
          <w:insideV w:val="nil" w:sz="4" w:space="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4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single" w:color="b45608" w:themeColor="accent6" w:themeShade="99" w:sz="4" w:space="0"/>
          <w:insideV w:val="nil" w:sz="4" w:space="0"/>
        </w:tcBorders>
        <w:shd w:val="clear" w:color="auto" w:fill="b4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b45608" w:themeFill="accent6" w:themeFillShade="99"/>
      </w:tcPr>
    </w:tblStylePr>
    <w:tblStylePr w:type="band1Vert">
      <w:tblPr/>
      <w:tcPr>
        <w:shd w:val="clear" w:color="auto" w:fill="fcd5b4" w:themeFill="accent6" w:themeFillTint="66"/>
      </w:tcPr>
    </w:tblStylePr>
    <w:tblStylePr w:type="band1Horz">
      <w:tblPr/>
      <w:tcPr>
        <w:shd w:val="clear" w:color="auto" w:fill="fbcaa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3e0ef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fd4d3" w:themeFill="accent2" w:themeFillTint="3f"/>
      </w:tcPr>
    </w:tblStylePr>
    <w:tblStylePr w:type="band1Horz">
      <w:tblPr/>
      <w:tcPr>
        <w:shd w:val="clear" w:color="auto" w:fill="f2dbda" w:themeFill="accent2" w:themeFillTint="33"/>
      </w:tcPr>
    </w:tblStylePr>
  </w:style>
  <w:style w:type="table" w:styleId="ColorfulListAccent3">
    <w:name w:val="Colorful List Accent 3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e6eed6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d9c40" w:themeFill="accent3" w:themeFillShade="cc"/>
      </w:tcPr>
    </w:tblStylePr>
    <w:tblStylePr w:type="lastRow">
      <w:rPr>
        <w:b/>
        <w:bCs/>
        <w:color w:val="7d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Accent5">
    <w:name w:val="Colorful List Accent 5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d1eaf1" w:themeFill="accent5" w:themeFillTint="3f"/>
      </w:tcPr>
    </w:tblStylePr>
    <w:tblStylePr w:type="band1Horz">
      <w:tblPr/>
      <w:tcPr>
        <w:shd w:val="clear" w:color="auto" w:fill="dbeef3" w:themeFill="accent5" w:themeFillTint="33"/>
      </w:tcPr>
    </w:tblStylePr>
  </w:style>
  <w:style w:type="table" w:styleId="ColorfulListAccent6">
    <w:name w:val="Colorful List Accent 6"/>
    <w:basedOn w:val="NormalTable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ca4" w:themeFill="accent5" w:themeFillShade="cc"/>
      </w:tcPr>
    </w:tblStylePr>
    <w:tblStylePr w:type="lastRow">
      <w:rPr>
        <w:b/>
        <w:bCs/>
        <w:color w:val="348ca4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 w:sz="4" w:space="0"/>
          <w:left w:val="nil" w:sz="4" w:space="0"/>
          <w:bottom w:val="nil" w:sz="4" w:space="0"/>
          <w:right w:val="nil" w:sz="4" w:space="0"/>
          <w:insideH w:val="nil" w:sz="4" w:space="0"/>
          <w:insideV w:val="nil" w:sz="4" w:space="0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76091" w:themeFill="accent1" w:themeFillShade="bf"/>
      </w:tcPr>
    </w:tblStylePr>
    <w:tblStylePr w:type="band1Vert">
      <w:tblPr/>
      <w:tcPr>
        <w:shd w:val="clear" w:color="auto" w:fill="a6bfde" w:themeFill="accent1" w:themeFillTint="7f"/>
      </w:tcPr>
    </w:tblStylePr>
    <w:tblStylePr w:type="band1Horz">
      <w:tblPr/>
      <w:tcPr>
        <w:shd w:val="clear" w:color="auto" w:fill="a6bfde" w:themeFill="accent1" w:themeFillTint="7f"/>
      </w:tcPr>
    </w:tblStylePr>
  </w:style>
  <w:style w:type="table" w:styleId="ColorfulGridAccent2">
    <w:name w:val="Colorful Grid Accent 2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a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6a5" w:themeFill="accent2" w:themeFillTint="7f"/>
      </w:tcPr>
    </w:tblStylePr>
    <w:tblStylePr w:type="band1Horz">
      <w:tblPr/>
      <w:tcPr>
        <w:shd w:val="clear" w:color="auto" w:fill="dfa6a5" w:themeFill="accent2" w:themeFillTint="7f"/>
      </w:tcPr>
    </w:tblStylePr>
  </w:style>
  <w:style w:type="table" w:styleId="ColorfulGridAccent3">
    <w:name w:val="Colorful Grid Accent 3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7e4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4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5923c" w:themeFill="accent3" w:themeFillShade="bf"/>
      </w:tcPr>
    </w:tblStylePr>
    <w:tblStylePr w:type="band1Vert">
      <w:tblPr/>
      <w:tcPr>
        <w:shd w:val="clear" w:color="auto" w:fill="ccddab" w:themeFill="accent3" w:themeFillTint="7f"/>
      </w:tcPr>
    </w:tblStylePr>
    <w:tblStylePr w:type="band1Horz">
      <w:tblPr/>
      <w:tcPr>
        <w:shd w:val="clear" w:color="auto" w:fill="ccddab" w:themeFill="accent3" w:themeFillTint="7f"/>
      </w:tcPr>
    </w:tblStylePr>
  </w:style>
  <w:style w:type="table" w:styleId="ColorfulGridAccent4">
    <w:name w:val="Colorful Grid Accent 4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0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0497b" w:themeFill="accent4" w:themeFillShade="bf"/>
      </w:tcPr>
    </w:tblStylePr>
    <w:tblStylePr w:type="band1Vert">
      <w:tblPr/>
      <w:tcPr>
        <w:shd w:val="clear" w:color="auto" w:fill="bfb1d1" w:themeFill="accent4" w:themeFillTint="7f"/>
      </w:tcPr>
    </w:tblStylePr>
    <w:tblStylePr w:type="band1Horz">
      <w:tblPr/>
      <w:tcPr>
        <w:shd w:val="clear" w:color="auto" w:fill="bfb1d1" w:themeFill="accent4" w:themeFillTint="7f"/>
      </w:tcPr>
    </w:tblStylePr>
  </w:style>
  <w:style w:type="table" w:styleId="ColorfulGridAccent5">
    <w:name w:val="Colorful Grid Accent 5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399" w:themeFill="accent5" w:themeFillShade="bf"/>
      </w:tcPr>
    </w:tblStylePr>
    <w:tblStylePr w:type="band1Vert">
      <w:tblPr/>
      <w:tcPr>
        <w:shd w:val="clear" w:color="auto" w:fill="a4d5e2" w:themeFill="accent5" w:themeFillTint="7f"/>
      </w:tcPr>
    </w:tblStylePr>
    <w:tblStylePr w:type="band1Horz">
      <w:tblPr/>
      <w:tcPr>
        <w:shd w:val="clear" w:color="auto" w:fill="a4d5e2" w:themeFill="accent5" w:themeFillTint="7f"/>
      </w:tcPr>
    </w:tblStylePr>
  </w:style>
  <w:style w:type="table" w:styleId="ColorfulGridAccent6">
    <w:name w:val="Colorful Grid Accent 6"/>
    <w:basedOn w:val="NormalTable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cd5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5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26c0a" w:themeFill="accent6" w:themeFillShade="bf"/>
      </w:tcPr>
    </w:tblStylePr>
    <w:tblStylePr w:type="band1Vert">
      <w:tblPr/>
      <w:tcPr>
        <w:shd w:val="clear" w:color="auto" w:fill="fbcaa1" w:themeFill="accent6" w:themeFillTint="7f"/>
      </w:tcPr>
    </w:tblStylePr>
    <w:tblStylePr w:type="band1Horz">
      <w:tblPr/>
      <w:tcPr>
        <w:shd w:val="clear" w:color="auto" w:fill="fbcaa1" w:themeFill="accent6" w:themeFillTint="7f"/>
      </w:tcPr>
    </w:tblStylePr>
  </w:style>
  <w:style w:type="paragraph" w:customStyle="1" w:styleId="ConsNormal">
    <w:name w:val="ConsNormal"/>
    <w:uiPriority w:val="99"/>
    <w:pPr>
      <w:spacing w:after="0" w:line="240" w:lineRule="auto"/>
      <w:jc w:val="both"/>
    </w:pPr>
    <w:rPr>
      <w:rFonts w:ascii="Courier New" w:cs="Courier New" w:eastAsia="Times New Roman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mbria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generated by python-docx</dc:description>
  <dc:creator>python-docx</dc:creator>
  <cp:lastModifiedBy>Юлия</cp:lastModifiedBy>
</cp:coreProperties>
</file>