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val="ru-RU"/>
        </w:rPr>
        <w:t>ПРИКАЗ</w:t>
      </w:r>
    </w:p>
    <w:p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br w:type="textWrapping"/>
      </w:r>
    </w:p>
    <w:p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г. Владимир</w:t>
      </w:r>
    </w:p>
    <w:p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0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Об утверждении Положения об аттестации </w:t>
      </w:r>
    </w:p>
    <w:p w14:paraId="0000000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>и формах итоговой оценки обучающихся</w:t>
      </w:r>
    </w:p>
    <w:p w14:paraId="0000000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lang w:val="ru-RU"/>
        </w:rPr>
      </w:pP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ab/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10">
      <w:pPr>
        <w:widowControl w:val="off"/>
        <w:tabs>
          <w:tab w:val="left" w:pos="851"/>
        </w:tabs>
        <w:spacing w:after="0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val="ru-RU"/>
        </w:rPr>
        <w:t>ПРИКАЗЫВАЮ:</w:t>
      </w:r>
    </w:p>
    <w:p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3">
      <w:pPr>
        <w:widowControl w:val="off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Утвердить и ввести в 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Положение об аттестации и формах итоговой оценки обучающихся в Организации.</w:t>
      </w:r>
    </w:p>
    <w:p w14:paraId="00000014">
      <w:pPr>
        <w:widowControl w:val="off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Приложение:</w:t>
      </w:r>
    </w:p>
    <w:p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>Положение об аттестации и формах итоговой оценки обучающихся.</w:t>
      </w:r>
    </w:p>
    <w:p w14:paraId="0000001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C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1D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1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lang w:val="ru-RU"/>
        </w:rPr>
      </w:pPr>
    </w:p>
    <w:p w14:paraId="00000020">
      <w:pPr>
        <w:keepNext w:val="on"/>
        <w:keepLines w:val="on"/>
        <w:spacing w:after="0" w:line="360" w:lineRule="auto"/>
        <w:jc w:val="center"/>
        <w:rPr>
          <w:rFonts w:ascii="Times New Roman" w:cs="Times New Roman" w:eastAsiaTheme="majorEastAsia" w:hAnsi="Times New Roman"/>
          <w:b/>
          <w:bCs/>
          <w:sz w:val="24"/>
          <w:szCs w:val="24"/>
          <w:lang w:val="ru-RU"/>
        </w:rPr>
      </w:pPr>
    </w:p>
    <w:p w14:paraId="00000021">
      <w:pPr>
        <w:keepNext w:val="on"/>
        <w:keepLines w:val="on"/>
        <w:spacing w:after="0" w:line="360" w:lineRule="auto"/>
        <w:jc w:val="center"/>
        <w:rPr>
          <w:rFonts w:ascii="Times New Roman" w:cs="Times New Roman" w:eastAsiaTheme="majorEastAsia" w:hAnsi="Times New Roman"/>
          <w:b/>
          <w:bCs/>
          <w:sz w:val="24"/>
          <w:szCs w:val="24"/>
          <w:lang w:val="ru-RU"/>
        </w:rPr>
      </w:pPr>
    </w:p>
    <w:p w14:paraId="00000022">
      <w:pPr>
        <w:keepNext w:val="on"/>
        <w:keepLines w:val="on"/>
        <w:spacing w:after="0" w:line="360" w:lineRule="auto"/>
        <w:jc w:val="center"/>
        <w:rPr>
          <w:rFonts w:ascii="Times New Roman" w:cs="Times New Roman" w:eastAsiaTheme="majorEastAsia" w:hAnsi="Times New Roman"/>
          <w:b/>
          <w:bCs/>
          <w:sz w:val="24"/>
          <w:szCs w:val="24"/>
          <w:lang w:val="ru-RU"/>
        </w:rPr>
      </w:pPr>
    </w:p>
    <w:p w14:paraId="00000023">
      <w:pPr>
        <w:keepNext w:val="on"/>
        <w:keepLines w:val="on"/>
        <w:spacing w:after="0" w:line="360" w:lineRule="auto"/>
        <w:jc w:val="center"/>
        <w:rPr>
          <w:rFonts w:ascii="Times New Roman" w:cs="Times New Roman" w:eastAsiaTheme="majorEastAsia" w:hAnsi="Times New Roman"/>
          <w:b/>
          <w:bCs/>
          <w:sz w:val="24"/>
          <w:szCs w:val="24"/>
          <w:lang w:val="ru-RU"/>
        </w:rPr>
      </w:pPr>
    </w:p>
    <w:p w14:paraId="00000024">
      <w:pPr>
        <w:pStyle w:val="Heading1"/>
        <w:spacing w:before="0" w:line="360" w:lineRule="auto"/>
        <w:jc w:val="center"/>
        <w:rPr>
          <w:rFonts w:ascii="Times New Roman" w:cs="Times New Roman" w:hAnsi="Times New Roman"/>
          <w:color w:val="000000" w:themeColor="text1"/>
          <w:lang w:val="ru-RU"/>
        </w:rPr>
      </w:pPr>
    </w:p>
    <w:p w14:paraId="00000025">
      <w:pPr>
        <w:pStyle w:val="Normal"/>
        <w:spacing w:before="0" w:line="360" w:lineRule="auto"/>
        <w:jc w:val="center"/>
        <w:rPr/>
      </w:pPr>
    </w:p>
    <w:p w14:paraId="00000026">
      <w:pPr>
        <w:rPr>
          <w:lang w:val="ru-RU"/>
        </w:rPr>
      </w:pPr>
    </w:p>
    <w:p w14:paraId="00000027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8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2A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2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C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 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2D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2E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2F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0">
      <w:pPr>
        <w:pStyle w:val="Heading1"/>
        <w:spacing w:before="0" w:line="360" w:lineRule="auto"/>
        <w:jc w:val="right"/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>. Шмелев</w:t>
      </w:r>
    </w:p>
    <w:p w14:paraId="00000031">
      <w:pPr>
        <w:pStyle w:val="Heading1"/>
        <w:spacing w:before="0" w:after="0" w:line="276" w:lineRule="auto"/>
        <w:jc w:val="center"/>
        <w:rPr>
          <w:rFonts w:ascii="Times New Roman" w:cs="Times New Roman" w:hAnsi="Times New Roman"/>
          <w:color w:val="000000" w:themeColor="text1"/>
          <w:lang w:val="ru-RU"/>
        </w:rPr>
      </w:pPr>
    </w:p>
    <w:p w14:paraId="00000032">
      <w:pPr>
        <w:pStyle w:val="Heading1"/>
        <w:spacing w:before="0" w:after="0" w:line="276" w:lineRule="auto"/>
        <w:jc w:val="center"/>
        <w:rPr>
          <w:sz w:val="28"/>
          <w:szCs w:val="28"/>
          <w:lang w:val="ru-RU"/>
        </w:rPr>
      </w:pPr>
      <w:r>
        <w:rPr>
          <w:rFonts w:ascii="Times New Roman" w:cs="Times New Roman" w:hAnsi="Times New Roman"/>
          <w:color w:val="000000" w:themeColor="text1"/>
          <w:lang w:val="ru-RU"/>
        </w:rPr>
        <w:t>ПОЛОЖЕНИЕ</w:t>
      </w:r>
      <w:r>
        <w:rPr>
          <w:rFonts w:ascii="Times New Roman" w:cs="Times New Roman" w:hAnsi="Times New Roman"/>
          <w:color w:val="000000" w:themeColor="text1"/>
          <w:lang w:val="ru-RU"/>
        </w:rPr>
        <w:br w:type="textWrapping"/>
      </w:r>
      <w:bookmarkStart w:id="0" w:name="_Hlk216876592"/>
      <w:r>
        <w:rPr>
          <w:rFonts w:ascii="Times New Roman" w:cs="Times New Roman" w:hAnsi="Times New Roman"/>
          <w:color w:val="000000" w:themeColor="text1"/>
          <w:sz w:val="28"/>
          <w:szCs w:val="28"/>
          <w:lang w:val="ru-RU"/>
        </w:rPr>
        <w:t>об аттестации и формах итоговой оценки обучающихся</w:t>
      </w:r>
      <w:bookmarkEnd w:id="0"/>
      <w:r>
        <w:rPr>
          <w:rFonts w:ascii="Times New Roman" w:cs="Times New Roman" w:hAnsi="Times New Roman"/>
          <w:color w:val="000000" w:themeColor="text1"/>
          <w:sz w:val="28"/>
          <w:szCs w:val="28"/>
          <w:lang w:val="ru-RU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>Гимнастическ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ом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Центр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ru-RU"/>
        </w:rPr>
        <w:t>е</w:t>
      </w:r>
      <w:r>
        <w:rPr>
          <w:rFonts w:ascii="Times New Roman" w:cs="Times New Roman" w:hAnsi="Times New Roman"/>
          <w:color w:val="000000"/>
          <w:sz w:val="28"/>
          <w:szCs w:val="28"/>
          <w:highlight w:val="none"/>
          <w:rtl w:val="off"/>
          <w:lang w:val="en-US"/>
        </w:rPr>
        <w:t xml:space="preserve"> IGYM</w:t>
      </w:r>
    </w:p>
    <w:p w14:paraId="00000033">
      <w:pPr>
        <w:pStyle w:val="Normal"/>
        <w:spacing w:before="0" w:after="0" w:line="276" w:lineRule="auto"/>
        <w:jc w:val="center"/>
        <w:rPr/>
      </w:pPr>
    </w:p>
    <w:p w14:paraId="00000034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1. Общие положения</w:t>
      </w:r>
    </w:p>
    <w:p w14:paraId="00000035">
      <w:pPr>
        <w:pStyle w:val="Normal"/>
        <w:spacing w:before="0"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 xml:space="preserve">1.1. Настоящее Положение определяет порядок проведения текущей и итоговой аттестации, а также формы оценки результатов освоения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6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7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8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9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3A">
      <w:pPr>
        <w:pStyle w:val="Normal"/>
        <w:spacing w:before="0"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3B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1.2. Положение разработано в соответствии с Федеральным законом № 273-ФЗ «Об образовании в Российской Федерации» и локальными нормативными актами Организации.</w:t>
      </w:r>
    </w:p>
    <w:p w14:paraId="0000003C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1.3. Аттестация обучающихся проводится в целях оценки степени освоения образовательной программы и достижения планируемых результатов обучения.</w:t>
      </w:r>
    </w:p>
    <w:p w14:paraId="0000003D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3E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2. Виды аттестации</w:t>
      </w:r>
    </w:p>
    <w:p w14:paraId="0000003F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2.1. В Организации применяются следующие виды аттестации:</w:t>
      </w:r>
    </w:p>
    <w:p w14:paraId="00000040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</w:rPr>
        <w:t>текущий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контроль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успеваемости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;</w:t>
      </w:r>
    </w:p>
    <w:p w14:paraId="00000041">
      <w:pPr>
        <w:pStyle w:val="ListBullet"/>
        <w:spacing w:before="0" w:after="0" w:line="276" w:lineRule="auto"/>
        <w:ind w:left="0"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</w:rPr>
        <w:t>итоговая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аттестация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итоговая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оценка</w:t>
      </w:r>
      <w:r>
        <w:rPr>
          <w:rFonts w:ascii="Times New Roman" w:cs="Times New Roman" w:hAnsi="Times New Roman"/>
          <w:color w:val="000000" w:themeColor="text1"/>
          <w:sz w:val="24"/>
          <w:szCs w:val="24"/>
        </w:rPr>
        <w:t>).</w:t>
      </w:r>
    </w:p>
    <w:p w14:paraId="00000042">
      <w:pPr>
        <w:pStyle w:val="ListBullet"/>
        <w:numPr>
          <w:ilvl w:val="0"/>
          <w:numId w:val="0"/>
        </w:numPr>
        <w:spacing w:before="0" w:after="0" w:line="276" w:lineRule="auto"/>
        <w:ind w:left="709"/>
        <w:jc w:val="both"/>
        <w:rPr>
          <w:rFonts w:ascii="Times New Roman" w:cs="Times New Roman" w:hAnsi="Times New Roman"/>
          <w:color w:val="000000" w:themeColor="text1"/>
          <w:sz w:val="24"/>
          <w:szCs w:val="24"/>
        </w:rPr>
      </w:pPr>
    </w:p>
    <w:p w14:paraId="00000043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</w:rPr>
        <w:t>3. Текущий контроль успеваемости</w:t>
      </w:r>
    </w:p>
    <w:p w14:paraId="00000044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3.1. Текущий контроль осуществляется в процессе обучения и направлен на оценку усвоения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отдельных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этапов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программы.</w:t>
      </w:r>
    </w:p>
    <w:p w14:paraId="00000045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3.2. Формами текущего контроля могут являться: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проверка знаний и умений выполнения упражнений, сдачи нормативов, уроки-зачеты, показательные выступления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; </w:t>
      </w:r>
      <w:r>
        <w:rPr>
          <w:rFonts w:ascii="Times New Roman" w:cs="Times New Roman" w:hAnsi="Times New Roman"/>
          <w:sz w:val="24"/>
          <w:szCs w:val="24"/>
          <w:highlight w:val="none"/>
        </w:rPr>
        <w:t>переход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  <w:lang w:val="ru-RU"/>
        </w:rPr>
        <w:t>обучающихся</w:t>
      </w:r>
      <w:r>
        <w:rPr>
          <w:rFonts w:ascii="Times New Roman" w:cs="Times New Roman" w:hAnsi="Times New Roman"/>
          <w:spacing w:val="-3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из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одного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класса</w:t>
      </w:r>
      <w:r>
        <w:rPr>
          <w:rFonts w:ascii="Times New Roman" w:cs="Times New Roman" w:hAnsi="Times New Roman"/>
          <w:spacing w:val="-2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в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друго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й.</w:t>
      </w:r>
    </w:p>
    <w:p w14:paraId="00000046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47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4. Итоговая аттестация (итоговая оценка)</w:t>
      </w:r>
    </w:p>
    <w:p w14:paraId="00000048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4.1. Итоговая аттестация проводится по завершении освоения образовательной программы и является обязательной, если это предусмотрено программой.</w:t>
      </w:r>
    </w:p>
    <w:p w14:paraId="00000049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4.2. Формами итоговой аттестации могут являться:</w:t>
      </w:r>
    </w:p>
    <w:p w14:paraId="0000004A">
      <w:pPr>
        <w:pStyle w:val="ListParagraph"/>
        <w:numPr>
          <w:ilvl w:val="0"/>
          <w:numId w:val="11"/>
        </w:numPr>
        <w:tabs>
          <w:tab w:val="left" w:pos="1623"/>
          <w:tab w:val="left" w:pos="1624"/>
        </w:tabs>
        <w:spacing w:before="0" w:after="0" w:line="276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выступление</w:t>
      </w:r>
      <w:r>
        <w:rPr>
          <w:rFonts w:ascii="Times New Roman" w:cs="Times New Roman" w:hAnsi="Times New Roman"/>
          <w:spacing w:val="-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7"/>
          <w:sz w:val="24"/>
          <w:szCs w:val="24"/>
          <w:highlight w:val="none"/>
          <w:lang w:val="ru-RU"/>
        </w:rPr>
        <w:t>обучающегося</w:t>
      </w:r>
      <w:r>
        <w:rPr>
          <w:rFonts w:ascii="Times New Roman" w:cs="Times New Roman" w:hAnsi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на</w:t>
      </w:r>
      <w:r>
        <w:rPr>
          <w:rFonts w:ascii="Times New Roman" w:cs="Times New Roman" w:hAnsi="Times New Roman"/>
          <w:spacing w:val="-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отчетном</w:t>
      </w:r>
      <w:r>
        <w:rPr>
          <w:rFonts w:ascii="Times New Roman" w:cs="Times New Roman" w:hAnsi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итоговом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мероприятии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6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(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показательное выступление)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4B">
      <w:pPr>
        <w:pStyle w:val="ListParagraph"/>
        <w:numPr>
          <w:ilvl w:val="0"/>
          <w:numId w:val="12"/>
        </w:numPr>
        <w:tabs>
          <w:tab w:val="left" w:pos="1221"/>
          <w:tab w:val="left" w:pos="1624"/>
        </w:tabs>
        <w:spacing w:before="0" w:after="0" w:line="276"/>
        <w:ind w:left="746" w:hanging="368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участие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  <w:lang w:val="ru-RU"/>
        </w:rPr>
        <w:t>обучающихся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в</w:t>
      </w:r>
      <w:r>
        <w:rPr>
          <w:rFonts w:ascii="Times New Roman" w:cs="Times New Roman" w:hAnsi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конкурсах: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городских,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областных,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кубках</w:t>
      </w:r>
      <w:r>
        <w:rPr>
          <w:rFonts w:ascii="Times New Roman" w:cs="Times New Roman" w:hAnsi="Times New Roman"/>
          <w:spacing w:val="-6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</w:t>
      </w:r>
      <w:r>
        <w:rPr>
          <w:rFonts w:ascii="Times New Roman" w:cs="Times New Roman" w:hAnsi="Times New Roman"/>
          <w:spacing w:val="-6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первенствах округов, чемпионатов России, открытых чемпионатах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России,</w:t>
      </w:r>
      <w:r>
        <w:rPr>
          <w:rFonts w:ascii="Times New Roman" w:cs="Times New Roman" w:hAnsi="Times New Roman"/>
          <w:spacing w:val="-2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международных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соревнованиях;</w:t>
      </w:r>
    </w:p>
    <w:p w14:paraId="0000004C">
      <w:pPr>
        <w:pStyle w:val="ListParagraph"/>
        <w:numPr>
          <w:ilvl w:val="0"/>
          <w:numId w:val="14"/>
        </w:numPr>
        <w:tabs>
          <w:tab w:val="left" w:pos="1221"/>
          <w:tab w:val="left" w:pos="1624"/>
        </w:tabs>
        <w:spacing w:before="0" w:after="0" w:line="276"/>
        <w:ind w:left="823" w:hanging="454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присвоение или </w:t>
      </w:r>
      <w:r>
        <w:rPr>
          <w:rFonts w:ascii="Times New Roman" w:cs="Times New Roman" w:hAnsi="Times New Roman"/>
          <w:sz w:val="24"/>
          <w:szCs w:val="24"/>
          <w:highlight w:val="none"/>
        </w:rPr>
        <w:t>повышение</w:t>
      </w:r>
      <w:r>
        <w:rPr>
          <w:rFonts w:ascii="Times New Roman" w:cs="Times New Roman" w:hAnsi="Times New Roman"/>
          <w:spacing w:val="-8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разрядов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  <w:lang w:val="ru-RU"/>
        </w:rPr>
        <w:t>обучающихся</w:t>
      </w:r>
      <w:r>
        <w:rPr>
          <w:rFonts w:ascii="Times New Roman" w:cs="Times New Roman" w:hAnsi="Times New Roman"/>
          <w:sz w:val="24"/>
          <w:szCs w:val="24"/>
          <w:highlight w:val="none"/>
        </w:rPr>
        <w:t>.</w:t>
      </w:r>
    </w:p>
    <w:p w14:paraId="0000004D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4.3. Конкретная форма итоговой аттестации определяется образовательной программой и доводится до сведения обучающихся до начала обучения.</w:t>
      </w:r>
    </w:p>
    <w:p w14:paraId="0000004E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4.4. Итоговая аттестация проводится очно.</w:t>
      </w:r>
    </w:p>
    <w:p w14:paraId="0000004F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50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5. Критерии оценки результатов обучения</w:t>
      </w:r>
    </w:p>
    <w:p w14:paraId="00000051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5.1. Оценка результатов обучения осуществляется с учетом полноты выполнения требований программы и самостоятельности обучающегося.</w:t>
      </w:r>
    </w:p>
    <w:p w14:paraId="00000052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5.2. По результатам итоговой аттестации может применяться система оценки, предусмотренная образовательной программой.</w:t>
      </w:r>
    </w:p>
    <w:p w14:paraId="00000053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54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6. Результаты аттестации</w:t>
      </w:r>
    </w:p>
    <w:p w14:paraId="00000055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6.1. Результаты текущего контроля и итоговой аттестации фиксируются в Организации и доводятся до сведения обучающихся.</w:t>
      </w:r>
    </w:p>
    <w:p w14:paraId="00000056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  <w:t>6.2. В случае неудовлетворительного результата обучающемуся может быть предоставлена возможность повторного выполнения итогового задания, если это предусмотрено программой.</w:t>
      </w:r>
    </w:p>
    <w:p w14:paraId="00000057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p w14:paraId="00000058">
      <w:pPr>
        <w:pStyle w:val="Heading2"/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7. Заключительные положения</w:t>
      </w:r>
    </w:p>
    <w:p w14:paraId="00000059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7.1. Настоящее Положение вступает в силу с момента утверждения приказом 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A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7.2. Изменения и дополнения в настоящее Положение утверждаются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по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5B">
      <w:pPr>
        <w:spacing w:before="0" w:after="0" w:line="276" w:lineRule="auto"/>
        <w:jc w:val="both"/>
        <w:rPr>
          <w:rFonts w:ascii="Times New Roman" w:cs="Times New Roman" w:hAnsi="Times New Roman"/>
          <w:color w:val="000000" w:themeColor="text1"/>
          <w:sz w:val="24"/>
          <w:szCs w:val="24"/>
          <w:lang w:val="ru-RU"/>
        </w:rPr>
      </w:pPr>
    </w:p>
    <w:sectPr>
      <w:pgSz w:w="12240" w:h="15840"/>
      <w:pgMar w:top="1020" w:right="758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4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4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4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067"/>
    <w:rsid w:val="0029639D"/>
    <w:rsid w:val="00326F90"/>
    <w:rsid w:val="003A50E4"/>
    <w:rsid w:val="003D4F8B"/>
    <w:rsid w:val="004C307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3B1AC"/>
  <w14:defaultImageDpi w14:val="300"/>
  <w15:docId w15:val="{7E6B5F6B-AAFE-417F-9538-6EB586E717C8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